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B6F" w:rsidRPr="009658E5" w:rsidRDefault="002D2B6F" w:rsidP="002D2B6F">
      <w:pPr>
        <w:spacing w:after="0"/>
        <w:jc w:val="right"/>
      </w:pPr>
      <w:r w:rsidRPr="009658E5">
        <w:t xml:space="preserve">Warszawa, 9 </w:t>
      </w:r>
      <w:r w:rsidR="00707E6C">
        <w:t>lutego</w:t>
      </w:r>
      <w:r w:rsidRPr="009658E5">
        <w:t xml:space="preserve"> 202</w:t>
      </w:r>
      <w:r w:rsidR="00707E6C">
        <w:t>5</w:t>
      </w:r>
      <w:r w:rsidRPr="009658E5">
        <w:t xml:space="preserve"> r.</w:t>
      </w:r>
    </w:p>
    <w:p w:rsidR="002D2B6F" w:rsidRPr="009658E5" w:rsidRDefault="002D2B6F" w:rsidP="002D2B6F">
      <w:pPr>
        <w:spacing w:after="0"/>
        <w:jc w:val="both"/>
      </w:pPr>
      <w:r>
        <w:t>P</w:t>
      </w:r>
      <w:r w:rsidRPr="009658E5">
        <w:t>rof. dr hab. Jarosław Różański</w:t>
      </w:r>
    </w:p>
    <w:p w:rsidR="002D2B6F" w:rsidRPr="009658E5" w:rsidRDefault="002D2B6F" w:rsidP="002D2B6F">
      <w:pPr>
        <w:spacing w:after="0"/>
        <w:jc w:val="both"/>
      </w:pPr>
      <w:r w:rsidRPr="009658E5">
        <w:t xml:space="preserve">Uniwersytet Kardynała Stefana Wyszyńskiego </w:t>
      </w:r>
    </w:p>
    <w:p w:rsidR="002D2B6F" w:rsidRPr="009658E5" w:rsidRDefault="002D2B6F" w:rsidP="002D2B6F">
      <w:pPr>
        <w:spacing w:after="0"/>
        <w:jc w:val="both"/>
      </w:pPr>
      <w:r w:rsidRPr="009658E5">
        <w:t xml:space="preserve">w Warszawie </w:t>
      </w:r>
    </w:p>
    <w:p w:rsidR="002D2B6F" w:rsidRDefault="002D2B6F" w:rsidP="002D2B6F">
      <w:pPr>
        <w:spacing w:after="0"/>
        <w:jc w:val="both"/>
      </w:pPr>
      <w:r w:rsidRPr="009658E5">
        <w:t xml:space="preserve">ul. </w:t>
      </w:r>
      <w:proofErr w:type="spellStart"/>
      <w:r w:rsidRPr="009658E5">
        <w:t>Dewajtis</w:t>
      </w:r>
      <w:proofErr w:type="spellEnd"/>
      <w:r w:rsidRPr="009658E5">
        <w:t xml:space="preserve"> 5, 01-815 Warszawa</w:t>
      </w:r>
    </w:p>
    <w:p w:rsidR="002D2B6F" w:rsidRDefault="002D2B6F" w:rsidP="002D2B6F">
      <w:pPr>
        <w:spacing w:after="0"/>
        <w:jc w:val="both"/>
      </w:pPr>
    </w:p>
    <w:p w:rsidR="00C11A24" w:rsidRPr="009658E5" w:rsidRDefault="00C11A24" w:rsidP="002D2B6F">
      <w:pPr>
        <w:spacing w:after="0"/>
        <w:jc w:val="both"/>
      </w:pPr>
    </w:p>
    <w:p w:rsidR="002D2B6F" w:rsidRPr="00AA0D40" w:rsidRDefault="002D2B6F" w:rsidP="00C11A24">
      <w:pPr>
        <w:pStyle w:val="Default"/>
        <w:jc w:val="both"/>
      </w:pPr>
      <w:r>
        <w:rPr>
          <w:b/>
        </w:rPr>
        <w:t xml:space="preserve">Ocena pracy doktorskiej mgra Dariusza Skonieczko </w:t>
      </w:r>
      <w:r w:rsidRPr="00AA0D40">
        <w:rPr>
          <w:b/>
        </w:rPr>
        <w:t>pt. „</w:t>
      </w:r>
      <w:r w:rsidRPr="002D2B6F">
        <w:rPr>
          <w:b/>
        </w:rPr>
        <w:t xml:space="preserve">Wykorzystanie technologii hologramu 3D oraz </w:t>
      </w:r>
      <w:proofErr w:type="spellStart"/>
      <w:r w:rsidRPr="002D2B6F">
        <w:rPr>
          <w:b/>
        </w:rPr>
        <w:t>Pepper’s</w:t>
      </w:r>
      <w:proofErr w:type="spellEnd"/>
      <w:r w:rsidRPr="002D2B6F">
        <w:rPr>
          <w:b/>
        </w:rPr>
        <w:t xml:space="preserve"> Ghost w przestrzeniach wystawowych muzeum jako środek interaktywnej komunikacji z widzem. Sposoby i ocena implementacji</w:t>
      </w:r>
      <w:r w:rsidRPr="00AA0D40">
        <w:rPr>
          <w:b/>
          <w:bCs/>
        </w:rPr>
        <w:t>”</w:t>
      </w:r>
      <w:r w:rsidRPr="00AA0D40">
        <w:rPr>
          <w:b/>
        </w:rPr>
        <w:t xml:space="preserve">, napisanej pod kierunkiem dr hab. Anety Pawłowskiej, prof. UŁ na Wydziale </w:t>
      </w:r>
      <w:r w:rsidRPr="00AA0D40">
        <w:rPr>
          <w:b/>
          <w:bCs/>
        </w:rPr>
        <w:t>Filozoficzno-Historycznym (Kierunek Historia Sztuki) Uniwersytetu Łódzkiego, Łódź 202</w:t>
      </w:r>
      <w:r>
        <w:rPr>
          <w:b/>
          <w:bCs/>
        </w:rPr>
        <w:t>4</w:t>
      </w:r>
      <w:r w:rsidRPr="00AA0D40">
        <w:rPr>
          <w:b/>
          <w:bCs/>
        </w:rPr>
        <w:t xml:space="preserve">, ss. </w:t>
      </w:r>
      <w:r>
        <w:rPr>
          <w:b/>
          <w:bCs/>
        </w:rPr>
        <w:t>215</w:t>
      </w:r>
      <w:r w:rsidRPr="00AA0D40">
        <w:rPr>
          <w:b/>
          <w:bCs/>
        </w:rPr>
        <w:t xml:space="preserve">. </w:t>
      </w:r>
    </w:p>
    <w:p w:rsidR="002D2B6F" w:rsidRDefault="002D2B6F" w:rsidP="002D2B6F">
      <w:pPr>
        <w:pStyle w:val="Default"/>
        <w:rPr>
          <w:b/>
        </w:rPr>
      </w:pPr>
    </w:p>
    <w:p w:rsidR="00707E6C" w:rsidRDefault="00707E6C" w:rsidP="002D2B6F">
      <w:pPr>
        <w:pStyle w:val="Default"/>
        <w:rPr>
          <w:b/>
        </w:rPr>
      </w:pPr>
    </w:p>
    <w:p w:rsidR="00C11A24" w:rsidRDefault="00C11A24" w:rsidP="002D2B6F">
      <w:pPr>
        <w:pStyle w:val="Default"/>
        <w:rPr>
          <w:b/>
        </w:rPr>
      </w:pPr>
    </w:p>
    <w:p w:rsidR="00F24669" w:rsidRPr="00C11A24" w:rsidRDefault="00981BE7" w:rsidP="00707E6C">
      <w:pPr>
        <w:spacing w:line="360" w:lineRule="auto"/>
        <w:ind w:firstLine="709"/>
        <w:jc w:val="both"/>
        <w:rPr>
          <w:rFonts w:cs="Times New Roman"/>
          <w:color w:val="000000"/>
        </w:rPr>
      </w:pPr>
      <w:r w:rsidRPr="00C11A24">
        <w:rPr>
          <w:rFonts w:cs="Times New Roman"/>
          <w:szCs w:val="24"/>
        </w:rPr>
        <w:t>Muzeologia</w:t>
      </w:r>
      <w:r w:rsidR="002D2B6F" w:rsidRPr="00C11A24">
        <w:rPr>
          <w:rFonts w:cs="Times New Roman"/>
          <w:szCs w:val="24"/>
        </w:rPr>
        <w:t xml:space="preserve">, zwana także </w:t>
      </w:r>
      <w:r w:rsidRPr="00C11A24">
        <w:rPr>
          <w:rFonts w:cs="Times New Roman"/>
          <w:szCs w:val="24"/>
        </w:rPr>
        <w:t>muzealnictw</w:t>
      </w:r>
      <w:r w:rsidR="002D2B6F" w:rsidRPr="00C11A24">
        <w:rPr>
          <w:rFonts w:cs="Times New Roman"/>
          <w:szCs w:val="24"/>
        </w:rPr>
        <w:t xml:space="preserve">em czy też </w:t>
      </w:r>
      <w:r w:rsidRPr="00C11A24">
        <w:rPr>
          <w:rFonts w:cs="Times New Roman"/>
          <w:szCs w:val="24"/>
        </w:rPr>
        <w:t>muzeografi</w:t>
      </w:r>
      <w:r w:rsidR="002D2B6F" w:rsidRPr="00C11A24">
        <w:rPr>
          <w:rFonts w:cs="Times New Roman"/>
          <w:szCs w:val="24"/>
        </w:rPr>
        <w:t xml:space="preserve">ą tradycyjnie traktowana była jako </w:t>
      </w:r>
      <w:r w:rsidRPr="00C11A24">
        <w:rPr>
          <w:rFonts w:cs="Times New Roman"/>
          <w:szCs w:val="24"/>
        </w:rPr>
        <w:t>nauka pomocnicza historii, zajmująca się architekturą muzeów i ich zarządzaniem</w:t>
      </w:r>
      <w:r w:rsidR="002D2B6F" w:rsidRPr="00C11A24">
        <w:rPr>
          <w:rFonts w:cs="Times New Roman"/>
          <w:szCs w:val="24"/>
        </w:rPr>
        <w:t xml:space="preserve">. Z czasem została ona </w:t>
      </w:r>
      <w:r w:rsidRPr="00C11A24">
        <w:rPr>
          <w:rFonts w:cs="Times New Roman"/>
          <w:szCs w:val="24"/>
        </w:rPr>
        <w:t>poszerzona o</w:t>
      </w:r>
      <w:r w:rsidR="002D2B6F" w:rsidRPr="00C11A24">
        <w:rPr>
          <w:rFonts w:cs="Times New Roman"/>
          <w:szCs w:val="24"/>
        </w:rPr>
        <w:t xml:space="preserve"> teorię komunikacji, z uwypukloną funkcją edukacyjną. Ważną rolę odgrywały także badania nad miejscami i obiektami pozyskanymi, nad </w:t>
      </w:r>
      <w:r w:rsidR="0052760C" w:rsidRPr="00C11A24">
        <w:rPr>
          <w:rFonts w:cs="Times New Roman"/>
          <w:szCs w:val="24"/>
        </w:rPr>
        <w:t xml:space="preserve">kryteriami ich wyboru </w:t>
      </w:r>
      <w:r w:rsidR="002D2B6F" w:rsidRPr="00C11A24">
        <w:rPr>
          <w:rFonts w:cs="Times New Roman"/>
          <w:szCs w:val="24"/>
        </w:rPr>
        <w:t>wyborami, a także typologi</w:t>
      </w:r>
      <w:r w:rsidR="0052760C" w:rsidRPr="00C11A24">
        <w:rPr>
          <w:rFonts w:cs="Times New Roman"/>
          <w:szCs w:val="24"/>
        </w:rPr>
        <w:t xml:space="preserve">ą. Od początku tez muzeologia </w:t>
      </w:r>
      <w:r w:rsidR="002D2B6F" w:rsidRPr="00C11A24">
        <w:rPr>
          <w:rFonts w:cs="Times New Roman"/>
          <w:szCs w:val="24"/>
        </w:rPr>
        <w:t xml:space="preserve">zakładała </w:t>
      </w:r>
      <w:r w:rsidR="0052760C" w:rsidRPr="00C11A24">
        <w:rPr>
          <w:rFonts w:cs="Times New Roman"/>
          <w:szCs w:val="24"/>
        </w:rPr>
        <w:t>również</w:t>
      </w:r>
      <w:r w:rsidR="002D2B6F" w:rsidRPr="00C11A24">
        <w:rPr>
          <w:rFonts w:cs="Times New Roman"/>
          <w:szCs w:val="24"/>
        </w:rPr>
        <w:t xml:space="preserve"> sposoby prezentacji i</w:t>
      </w:r>
      <w:r w:rsidRPr="00C11A24">
        <w:rPr>
          <w:rFonts w:cs="Times New Roman"/>
          <w:szCs w:val="24"/>
        </w:rPr>
        <w:t xml:space="preserve"> animacji</w:t>
      </w:r>
      <w:r w:rsidR="0052760C" w:rsidRPr="00C11A24">
        <w:rPr>
          <w:rFonts w:cs="Times New Roman"/>
          <w:szCs w:val="24"/>
        </w:rPr>
        <w:t>, istotne przy</w:t>
      </w:r>
      <w:r w:rsidRPr="00C11A24">
        <w:rPr>
          <w:rFonts w:cs="Times New Roman"/>
          <w:szCs w:val="24"/>
        </w:rPr>
        <w:t xml:space="preserve"> </w:t>
      </w:r>
      <w:r w:rsidR="0052760C" w:rsidRPr="00C11A24">
        <w:rPr>
          <w:rFonts w:cs="Times New Roman"/>
          <w:szCs w:val="24"/>
        </w:rPr>
        <w:t xml:space="preserve">upowszechnianiu wiedzy. Przez to też muzeologia wychodzi naprzeciw wystawiennictwu, które określa sztukę prezentowania i eksponowania przedmiotów muzealnych. </w:t>
      </w:r>
      <w:proofErr w:type="spellStart"/>
      <w:r w:rsidR="0052760C" w:rsidRPr="00C11A24">
        <w:rPr>
          <w:rFonts w:cs="Times New Roman"/>
          <w:i/>
          <w:szCs w:val="24"/>
        </w:rPr>
        <w:t>Nolens</w:t>
      </w:r>
      <w:proofErr w:type="spellEnd"/>
      <w:r w:rsidR="0052760C" w:rsidRPr="00C11A24">
        <w:rPr>
          <w:rFonts w:cs="Times New Roman"/>
          <w:i/>
          <w:szCs w:val="24"/>
        </w:rPr>
        <w:t xml:space="preserve"> </w:t>
      </w:r>
      <w:proofErr w:type="spellStart"/>
      <w:r w:rsidR="0052760C" w:rsidRPr="00C11A24">
        <w:rPr>
          <w:rFonts w:cs="Times New Roman"/>
          <w:i/>
          <w:szCs w:val="24"/>
        </w:rPr>
        <w:t>volens</w:t>
      </w:r>
      <w:proofErr w:type="spellEnd"/>
      <w:r w:rsidR="0052760C" w:rsidRPr="00C11A24">
        <w:rPr>
          <w:rFonts w:cs="Times New Roman"/>
          <w:szCs w:val="24"/>
        </w:rPr>
        <w:t xml:space="preserve"> pojawia się tutaj postać artysty-wystawiennika, który reżyseruje zwiedzanie przestrzeni wystawowej, buduje narrację, </w:t>
      </w:r>
      <w:r w:rsidR="000D542E" w:rsidRPr="00C11A24">
        <w:rPr>
          <w:rFonts w:cs="Times New Roman"/>
          <w:szCs w:val="24"/>
        </w:rPr>
        <w:t>wprowadza specyficzny</w:t>
      </w:r>
      <w:r w:rsidR="0052760C" w:rsidRPr="00C11A24">
        <w:rPr>
          <w:rFonts w:cs="Times New Roman"/>
          <w:szCs w:val="24"/>
        </w:rPr>
        <w:t xml:space="preserve"> kontakt </w:t>
      </w:r>
      <w:r w:rsidR="000D542E" w:rsidRPr="00C11A24">
        <w:rPr>
          <w:rFonts w:cs="Times New Roman"/>
          <w:szCs w:val="24"/>
        </w:rPr>
        <w:t>zwiedzającego</w:t>
      </w:r>
      <w:r w:rsidR="0052760C" w:rsidRPr="00C11A24">
        <w:rPr>
          <w:rFonts w:cs="Times New Roman"/>
          <w:szCs w:val="24"/>
        </w:rPr>
        <w:t xml:space="preserve"> z prezentowanymi wartościami</w:t>
      </w:r>
      <w:r w:rsidR="000D542E" w:rsidRPr="00C11A24">
        <w:rPr>
          <w:rFonts w:cs="Times New Roman"/>
          <w:szCs w:val="24"/>
        </w:rPr>
        <w:t>, p</w:t>
      </w:r>
      <w:r w:rsidR="0052760C" w:rsidRPr="00C11A24">
        <w:rPr>
          <w:rFonts w:cs="Times New Roman"/>
          <w:szCs w:val="24"/>
        </w:rPr>
        <w:t xml:space="preserve">obudza </w:t>
      </w:r>
      <w:r w:rsidR="000D542E" w:rsidRPr="00C11A24">
        <w:rPr>
          <w:rFonts w:cs="Times New Roman"/>
          <w:szCs w:val="24"/>
        </w:rPr>
        <w:t xml:space="preserve">go </w:t>
      </w:r>
      <w:r w:rsidR="0052760C" w:rsidRPr="00C11A24">
        <w:rPr>
          <w:rFonts w:cs="Times New Roman"/>
          <w:szCs w:val="24"/>
        </w:rPr>
        <w:t>do interpretacji i żywego odbioru.</w:t>
      </w:r>
      <w:r w:rsidR="000D542E" w:rsidRPr="00C11A24">
        <w:rPr>
          <w:rFonts w:cs="Times New Roman"/>
          <w:szCs w:val="24"/>
        </w:rPr>
        <w:t xml:space="preserve"> Może używać przy tym różnych środków technicznych i </w:t>
      </w:r>
      <w:r w:rsidR="0052760C" w:rsidRPr="00C11A24">
        <w:rPr>
          <w:rFonts w:cs="Times New Roman"/>
          <w:szCs w:val="24"/>
        </w:rPr>
        <w:t>plastycznych</w:t>
      </w:r>
      <w:r w:rsidR="000D542E" w:rsidRPr="00C11A24">
        <w:rPr>
          <w:rFonts w:cs="Times New Roman"/>
          <w:szCs w:val="24"/>
        </w:rPr>
        <w:t>,</w:t>
      </w:r>
      <w:r w:rsidR="0052760C" w:rsidRPr="00C11A24">
        <w:rPr>
          <w:rFonts w:cs="Times New Roman"/>
          <w:szCs w:val="24"/>
        </w:rPr>
        <w:t xml:space="preserve"> jak </w:t>
      </w:r>
      <w:r w:rsidR="000D542E" w:rsidRPr="00C11A24">
        <w:rPr>
          <w:rFonts w:cs="Times New Roman"/>
          <w:szCs w:val="24"/>
        </w:rPr>
        <w:t xml:space="preserve">chociażby </w:t>
      </w:r>
      <w:r w:rsidR="0052760C" w:rsidRPr="00C11A24">
        <w:rPr>
          <w:rFonts w:cs="Times New Roman"/>
          <w:szCs w:val="24"/>
        </w:rPr>
        <w:t>światło, kolor, tło, elementy przestrzenne, film, dźwięk,</w:t>
      </w:r>
      <w:r w:rsidR="000D542E" w:rsidRPr="00C11A24">
        <w:rPr>
          <w:rFonts w:cs="Times New Roman"/>
          <w:szCs w:val="24"/>
        </w:rPr>
        <w:t xml:space="preserve"> obraz, itp. </w:t>
      </w:r>
      <w:r w:rsidR="00F24669" w:rsidRPr="00C11A24">
        <w:rPr>
          <w:rFonts w:cs="Times New Roman"/>
          <w:szCs w:val="24"/>
        </w:rPr>
        <w:t xml:space="preserve">Praca doktorska </w:t>
      </w:r>
      <w:r w:rsidR="00F24669" w:rsidRPr="00C11A24">
        <w:rPr>
          <w:rFonts w:cs="Times New Roman"/>
          <w:color w:val="000000"/>
        </w:rPr>
        <w:t xml:space="preserve">magistra Dariusza Skonieczko pt. „Wykorzystanie technologii hologramu 3D oraz </w:t>
      </w:r>
      <w:proofErr w:type="spellStart"/>
      <w:r w:rsidR="00F24669" w:rsidRPr="00C11A24">
        <w:rPr>
          <w:rFonts w:cs="Times New Roman"/>
          <w:color w:val="000000"/>
        </w:rPr>
        <w:t>Pepper’s</w:t>
      </w:r>
      <w:proofErr w:type="spellEnd"/>
      <w:r w:rsidR="00F24669" w:rsidRPr="00C11A24">
        <w:rPr>
          <w:rFonts w:cs="Times New Roman"/>
          <w:color w:val="000000"/>
        </w:rPr>
        <w:t xml:space="preserve"> Ghost w przestrzeniach wystawowych muzeum jako środek interaktywnej komunikacji z widzem. Sposoby i ocena implementacji” wpisuje się w tę szeroko pojęta interdyscyplinarność muzeologii, eksponując ponadto aspekt wdrożeniowy, związany z konkretnym z muzeum etnograficznym. Jest to dzisiaj bardzo ważny element poznawczy, gdyż muzeum etnograficzne pozwala odwiedzającym uświadomić sobie fakt istnienia „innych”, odwiecznych „obcych” i tym samym muzeum stawia wymóg ustosunkowania się do owych „innych”, wyrobienia sobie, bądź skorygowania opinii o nich. Powyżej zarysowany kontekst to tylko </w:t>
      </w:r>
      <w:r w:rsidR="00767961" w:rsidRPr="00C11A24">
        <w:rPr>
          <w:rFonts w:cs="Times New Roman"/>
          <w:color w:val="000000"/>
        </w:rPr>
        <w:t xml:space="preserve">niewielki </w:t>
      </w:r>
      <w:r w:rsidR="00F24669" w:rsidRPr="00C11A24">
        <w:rPr>
          <w:rFonts w:cs="Times New Roman"/>
          <w:color w:val="000000"/>
        </w:rPr>
        <w:t xml:space="preserve">ułamek </w:t>
      </w:r>
      <w:r w:rsidR="00767961" w:rsidRPr="00C11A24">
        <w:rPr>
          <w:rFonts w:cs="Times New Roman"/>
          <w:color w:val="000000"/>
        </w:rPr>
        <w:t>komunikacji międzykulturowej, która dokonuje się w przestrzeni muzealnej.</w:t>
      </w:r>
    </w:p>
    <w:p w:rsidR="000D542E" w:rsidRPr="00C11A24" w:rsidRDefault="000D542E" w:rsidP="00707E6C">
      <w:pPr>
        <w:spacing w:line="360" w:lineRule="auto"/>
        <w:ind w:firstLine="709"/>
        <w:jc w:val="both"/>
        <w:rPr>
          <w:rFonts w:cs="Times New Roman"/>
        </w:rPr>
      </w:pPr>
    </w:p>
    <w:p w:rsidR="00B76924" w:rsidRPr="00C11A24" w:rsidRDefault="00B76924" w:rsidP="00707E6C">
      <w:pPr>
        <w:spacing w:line="360" w:lineRule="auto"/>
        <w:ind w:firstLine="709"/>
        <w:jc w:val="both"/>
        <w:outlineLvl w:val="0"/>
        <w:rPr>
          <w:rFonts w:cs="Times New Roman"/>
          <w:b/>
          <w:bCs/>
        </w:rPr>
      </w:pPr>
      <w:r w:rsidRPr="00C11A24">
        <w:rPr>
          <w:rFonts w:cs="Times New Roman"/>
          <w:b/>
          <w:bCs/>
        </w:rPr>
        <w:lastRenderedPageBreak/>
        <w:t>1. Tytuł</w:t>
      </w:r>
      <w:r w:rsidRPr="00C11A24">
        <w:rPr>
          <w:rFonts w:cs="Times New Roman"/>
          <w:b/>
        </w:rPr>
        <w:t xml:space="preserve"> </w:t>
      </w:r>
    </w:p>
    <w:p w:rsidR="00B76924" w:rsidRPr="00C11A24" w:rsidRDefault="00B76924" w:rsidP="00707E6C">
      <w:pPr>
        <w:spacing w:line="360" w:lineRule="auto"/>
        <w:ind w:firstLine="709"/>
        <w:jc w:val="both"/>
        <w:rPr>
          <w:rFonts w:cs="Times New Roman"/>
        </w:rPr>
      </w:pPr>
      <w:r w:rsidRPr="00C11A24">
        <w:rPr>
          <w:rFonts w:cs="Times New Roman"/>
        </w:rPr>
        <w:t xml:space="preserve">Sam tytuł pracy jest sformułowany poprawnie. Zdaje się zapowiadać pewną logiczną dwupoziomowość prezentowanej materii: nawiązuje on do wykorzystania technologii hologramu 3D oraz </w:t>
      </w:r>
      <w:proofErr w:type="spellStart"/>
      <w:r w:rsidRPr="00C11A24">
        <w:rPr>
          <w:rFonts w:cs="Times New Roman"/>
        </w:rPr>
        <w:t>Pepper’s</w:t>
      </w:r>
      <w:proofErr w:type="spellEnd"/>
      <w:r w:rsidRPr="00C11A24">
        <w:rPr>
          <w:rFonts w:cs="Times New Roman"/>
        </w:rPr>
        <w:t xml:space="preserve"> Ghost w przestrzeniach wystawowych muzeum oraz do sposobów interaktywnej komunikacji z widzem. Dotychczasowe studium tych problemów  z pewnością nie przyniosło wyczerpujących opracowań i analiz. </w:t>
      </w:r>
    </w:p>
    <w:p w:rsidR="00B76924" w:rsidRPr="00C11A24" w:rsidRDefault="00B76924" w:rsidP="00707E6C">
      <w:pPr>
        <w:spacing w:line="360" w:lineRule="auto"/>
        <w:ind w:firstLine="709"/>
        <w:jc w:val="both"/>
        <w:rPr>
          <w:rFonts w:cs="Times New Roman"/>
        </w:rPr>
      </w:pPr>
    </w:p>
    <w:p w:rsidR="00B76924" w:rsidRPr="00C11A24" w:rsidRDefault="00B76924" w:rsidP="00707E6C">
      <w:pPr>
        <w:spacing w:line="360" w:lineRule="auto"/>
        <w:ind w:firstLine="709"/>
        <w:jc w:val="both"/>
        <w:outlineLvl w:val="0"/>
        <w:rPr>
          <w:rFonts w:cs="Times New Roman"/>
          <w:b/>
        </w:rPr>
      </w:pPr>
      <w:r w:rsidRPr="00C11A24">
        <w:rPr>
          <w:rFonts w:cs="Times New Roman"/>
          <w:b/>
        </w:rPr>
        <w:t xml:space="preserve">2. Problem </w:t>
      </w:r>
    </w:p>
    <w:p w:rsidR="009229F6" w:rsidRPr="00C11A24" w:rsidRDefault="00B76924" w:rsidP="00707E6C">
      <w:pPr>
        <w:spacing w:line="360" w:lineRule="auto"/>
        <w:ind w:firstLine="709"/>
        <w:jc w:val="both"/>
        <w:rPr>
          <w:rFonts w:cs="Times New Roman"/>
        </w:rPr>
      </w:pPr>
      <w:r w:rsidRPr="00C11A24">
        <w:rPr>
          <w:rFonts w:cs="Times New Roman"/>
        </w:rPr>
        <w:t xml:space="preserve">Problem rozprawy mgra Dariusza Skonieczko został </w:t>
      </w:r>
      <w:r w:rsidR="00767961" w:rsidRPr="00C11A24">
        <w:rPr>
          <w:rFonts w:cs="Times New Roman"/>
        </w:rPr>
        <w:t xml:space="preserve">dostatecznie </w:t>
      </w:r>
      <w:r w:rsidRPr="00C11A24">
        <w:rPr>
          <w:rFonts w:cs="Times New Roman"/>
        </w:rPr>
        <w:t xml:space="preserve">sprecyzowany i wyjaśniony w </w:t>
      </w:r>
      <w:r w:rsidR="0042128E" w:rsidRPr="00C11A24">
        <w:rPr>
          <w:rFonts w:cs="Times New Roman"/>
        </w:rPr>
        <w:t>części wstępnej</w:t>
      </w:r>
      <w:r w:rsidRPr="00C11A24">
        <w:rPr>
          <w:rFonts w:cs="Times New Roman"/>
        </w:rPr>
        <w:t>.</w:t>
      </w:r>
      <w:r w:rsidR="0042128E" w:rsidRPr="00C11A24">
        <w:rPr>
          <w:rFonts w:cs="Times New Roman"/>
        </w:rPr>
        <w:t xml:space="preserve"> Podan</w:t>
      </w:r>
      <w:r w:rsidR="009229F6" w:rsidRPr="00C11A24">
        <w:rPr>
          <w:rFonts w:cs="Times New Roman"/>
        </w:rPr>
        <w:t>o w niej najpierw</w:t>
      </w:r>
      <w:r w:rsidR="0042128E" w:rsidRPr="00C11A24">
        <w:rPr>
          <w:rFonts w:cs="Times New Roman"/>
        </w:rPr>
        <w:t xml:space="preserve"> pytania badawcze</w:t>
      </w:r>
      <w:r w:rsidR="009229F6" w:rsidRPr="00C11A24">
        <w:rPr>
          <w:rFonts w:cs="Times New Roman"/>
        </w:rPr>
        <w:t>:</w:t>
      </w:r>
    </w:p>
    <w:p w:rsidR="009229F6" w:rsidRPr="00C11A24" w:rsidRDefault="0042128E" w:rsidP="00707E6C">
      <w:pPr>
        <w:spacing w:line="360" w:lineRule="auto"/>
        <w:ind w:firstLine="709"/>
        <w:jc w:val="both"/>
        <w:rPr>
          <w:rFonts w:cs="Times New Roman"/>
          <w:i/>
        </w:rPr>
      </w:pPr>
      <w:r w:rsidRPr="00C11A24">
        <w:rPr>
          <w:rFonts w:cs="Times New Roman"/>
        </w:rPr>
        <w:t>1</w:t>
      </w:r>
      <w:r w:rsidRPr="00C11A24">
        <w:rPr>
          <w:rFonts w:cs="Times New Roman"/>
          <w:i/>
        </w:rPr>
        <w:t xml:space="preserve">. Czym zajmują się muzea? </w:t>
      </w:r>
    </w:p>
    <w:p w:rsidR="009229F6" w:rsidRPr="00C11A24" w:rsidRDefault="0042128E" w:rsidP="00707E6C">
      <w:pPr>
        <w:spacing w:line="360" w:lineRule="auto"/>
        <w:ind w:firstLine="709"/>
        <w:jc w:val="both"/>
        <w:rPr>
          <w:rFonts w:cs="Times New Roman"/>
          <w:i/>
        </w:rPr>
      </w:pPr>
      <w:r w:rsidRPr="00C11A24">
        <w:rPr>
          <w:rFonts w:cs="Times New Roman"/>
        </w:rPr>
        <w:t>2.</w:t>
      </w:r>
      <w:r w:rsidRPr="00C11A24">
        <w:rPr>
          <w:rFonts w:cs="Times New Roman"/>
          <w:i/>
        </w:rPr>
        <w:t xml:space="preserve"> Czym są obiekty muzealne? </w:t>
      </w:r>
    </w:p>
    <w:p w:rsidR="009229F6" w:rsidRPr="00C11A24" w:rsidRDefault="0042128E" w:rsidP="00707E6C">
      <w:pPr>
        <w:spacing w:line="360" w:lineRule="auto"/>
        <w:ind w:firstLine="709"/>
        <w:jc w:val="both"/>
        <w:rPr>
          <w:rFonts w:cs="Times New Roman"/>
          <w:i/>
        </w:rPr>
      </w:pPr>
      <w:r w:rsidRPr="00C11A24">
        <w:rPr>
          <w:rFonts w:cs="Times New Roman"/>
        </w:rPr>
        <w:t>3.</w:t>
      </w:r>
      <w:r w:rsidRPr="00C11A24">
        <w:rPr>
          <w:rFonts w:cs="Times New Roman"/>
          <w:i/>
        </w:rPr>
        <w:t xml:space="preserve"> Jakie doświadczenia wynosi publiczność? </w:t>
      </w:r>
    </w:p>
    <w:p w:rsidR="009229F6" w:rsidRPr="00C11A24" w:rsidRDefault="0042128E" w:rsidP="00707E6C">
      <w:pPr>
        <w:spacing w:line="360" w:lineRule="auto"/>
        <w:ind w:firstLine="709"/>
        <w:jc w:val="both"/>
        <w:rPr>
          <w:rFonts w:cs="Times New Roman"/>
          <w:i/>
        </w:rPr>
      </w:pPr>
      <w:r w:rsidRPr="00C11A24">
        <w:rPr>
          <w:rFonts w:cs="Times New Roman"/>
        </w:rPr>
        <w:t>4.</w:t>
      </w:r>
      <w:r w:rsidRPr="00C11A24">
        <w:rPr>
          <w:rFonts w:cs="Times New Roman"/>
          <w:i/>
        </w:rPr>
        <w:t xml:space="preserve"> Jaki jest związek widza z muzeum? </w:t>
      </w:r>
    </w:p>
    <w:p w:rsidR="009229F6" w:rsidRPr="00C11A24" w:rsidRDefault="0042128E" w:rsidP="00707E6C">
      <w:pPr>
        <w:spacing w:line="360" w:lineRule="auto"/>
        <w:ind w:firstLine="709"/>
        <w:jc w:val="both"/>
        <w:rPr>
          <w:rFonts w:cs="Times New Roman"/>
        </w:rPr>
      </w:pPr>
      <w:r w:rsidRPr="00C11A24">
        <w:rPr>
          <w:rFonts w:cs="Times New Roman"/>
        </w:rPr>
        <w:t>5.</w:t>
      </w:r>
      <w:r w:rsidRPr="00C11A24">
        <w:rPr>
          <w:rFonts w:cs="Times New Roman"/>
          <w:i/>
        </w:rPr>
        <w:t xml:space="preserve"> Jakie wartości społeczne niesie ze sobą muzeum?</w:t>
      </w:r>
      <w:r w:rsidRPr="00C11A24">
        <w:rPr>
          <w:rFonts w:cs="Times New Roman"/>
        </w:rPr>
        <w:t xml:space="preserve"> </w:t>
      </w:r>
      <w:r w:rsidR="009229F6" w:rsidRPr="00C11A24">
        <w:rPr>
          <w:rFonts w:cs="Times New Roman"/>
        </w:rPr>
        <w:t>(s. 7)</w:t>
      </w:r>
    </w:p>
    <w:p w:rsidR="0042128E" w:rsidRPr="00C11A24" w:rsidRDefault="009229F6" w:rsidP="00707E6C">
      <w:pPr>
        <w:spacing w:line="360" w:lineRule="auto"/>
        <w:ind w:firstLine="709"/>
        <w:jc w:val="both"/>
        <w:rPr>
          <w:rFonts w:cs="Times New Roman"/>
        </w:rPr>
      </w:pPr>
      <w:r w:rsidRPr="00C11A24">
        <w:rPr>
          <w:rFonts w:cs="Times New Roman"/>
        </w:rPr>
        <w:t xml:space="preserve">Zdaniem Autora pracy </w:t>
      </w:r>
      <w:r w:rsidR="0042128E" w:rsidRPr="00C11A24">
        <w:rPr>
          <w:rFonts w:cs="Times New Roman"/>
        </w:rPr>
        <w:t xml:space="preserve">mają </w:t>
      </w:r>
      <w:r w:rsidRPr="00C11A24">
        <w:rPr>
          <w:rFonts w:cs="Times New Roman"/>
        </w:rPr>
        <w:t xml:space="preserve">one </w:t>
      </w:r>
      <w:r w:rsidR="0042128E" w:rsidRPr="00C11A24">
        <w:rPr>
          <w:rFonts w:cs="Times New Roman"/>
        </w:rPr>
        <w:t>„uporządkować właściwą część pracy i nadać jej charakter potrzebnego kompendium wiedzy”</w:t>
      </w:r>
      <w:r w:rsidRPr="00C11A24">
        <w:rPr>
          <w:rFonts w:cs="Times New Roman"/>
        </w:rPr>
        <w:t>. O</w:t>
      </w:r>
      <w:r w:rsidR="0042128E" w:rsidRPr="00C11A24">
        <w:rPr>
          <w:rFonts w:cs="Times New Roman"/>
        </w:rPr>
        <w:t xml:space="preserve">mawiając dalej swoje założenia zupełnie niepotrzebnie stawia znak zapytania na końcu zdania oznajmiającego. </w:t>
      </w:r>
      <w:r w:rsidRPr="00C11A24">
        <w:rPr>
          <w:rFonts w:cs="Times New Roman"/>
        </w:rPr>
        <w:t>A tutaj r</w:t>
      </w:r>
      <w:r w:rsidR="0042128E" w:rsidRPr="00C11A24">
        <w:rPr>
          <w:rFonts w:cs="Times New Roman"/>
        </w:rPr>
        <w:t xml:space="preserve">aczej trzeba byłoby taki znak zapytania postawić </w:t>
      </w:r>
      <w:r w:rsidRPr="00C11A24">
        <w:rPr>
          <w:rFonts w:cs="Times New Roman"/>
        </w:rPr>
        <w:t>przy zasadności tak sformułowanych</w:t>
      </w:r>
      <w:r w:rsidR="0042128E" w:rsidRPr="00C11A24">
        <w:rPr>
          <w:rFonts w:cs="Times New Roman"/>
        </w:rPr>
        <w:t xml:space="preserve"> pytania</w:t>
      </w:r>
      <w:r w:rsidRPr="00C11A24">
        <w:rPr>
          <w:rFonts w:cs="Times New Roman"/>
        </w:rPr>
        <w:t>ch</w:t>
      </w:r>
      <w:r w:rsidR="0042128E" w:rsidRPr="00C11A24">
        <w:rPr>
          <w:rFonts w:cs="Times New Roman"/>
        </w:rPr>
        <w:t xml:space="preserve"> badawcz</w:t>
      </w:r>
      <w:r w:rsidRPr="00C11A24">
        <w:rPr>
          <w:rFonts w:cs="Times New Roman"/>
        </w:rPr>
        <w:t>ych</w:t>
      </w:r>
      <w:r w:rsidR="0042128E" w:rsidRPr="00C11A24">
        <w:rPr>
          <w:rFonts w:cs="Times New Roman"/>
        </w:rPr>
        <w:t xml:space="preserve">, gdyż one niezupełnie nadają się – ze względu na swą encyklopedyczność </w:t>
      </w:r>
      <w:r w:rsidRPr="00C11A24">
        <w:rPr>
          <w:rFonts w:cs="Times New Roman"/>
        </w:rPr>
        <w:t xml:space="preserve">i archaiczność w odpowiedzi </w:t>
      </w:r>
      <w:r w:rsidR="0042128E" w:rsidRPr="00C11A24">
        <w:rPr>
          <w:rFonts w:cs="Times New Roman"/>
        </w:rPr>
        <w:t>– do tego typu pracy. Cele pracy doktorskiej zostały przedstawione poprawnie</w:t>
      </w:r>
      <w:r w:rsidRPr="00C11A24">
        <w:rPr>
          <w:rFonts w:cs="Times New Roman"/>
        </w:rPr>
        <w:t xml:space="preserve"> na dalszych stronach dysertacji</w:t>
      </w:r>
      <w:r w:rsidR="0042128E" w:rsidRPr="00C11A24">
        <w:rPr>
          <w:rFonts w:cs="Times New Roman"/>
        </w:rPr>
        <w:t xml:space="preserve">. Stwierdza on najpierw, iż „Podstawowym celem pracy badawczej było zbadanie możliwości wykorzystania technologii hologramu 3D oraz </w:t>
      </w:r>
      <w:proofErr w:type="spellStart"/>
      <w:r w:rsidR="0042128E" w:rsidRPr="00C11A24">
        <w:rPr>
          <w:rFonts w:cs="Times New Roman"/>
          <w:i/>
        </w:rPr>
        <w:t>Pepper’s</w:t>
      </w:r>
      <w:proofErr w:type="spellEnd"/>
      <w:r w:rsidR="0042128E" w:rsidRPr="00C11A24">
        <w:rPr>
          <w:rFonts w:cs="Times New Roman"/>
          <w:i/>
        </w:rPr>
        <w:t xml:space="preserve"> Ghost</w:t>
      </w:r>
      <w:r w:rsidR="0042128E" w:rsidRPr="00C11A24">
        <w:rPr>
          <w:rFonts w:cs="Times New Roman"/>
        </w:rPr>
        <w:t xml:space="preserve"> w przestrzeniach wystawowych muzeum jako środka interaktywnej komunikacji z widzem oraz ocenienie sposobów ich implementacji”, a następnie dodaje: „</w:t>
      </w:r>
      <w:r w:rsidRPr="00C11A24">
        <w:rPr>
          <w:rFonts w:cs="Times New Roman"/>
        </w:rPr>
        <w:t>k</w:t>
      </w:r>
      <w:r w:rsidR="0042128E" w:rsidRPr="00C11A24">
        <w:rPr>
          <w:rFonts w:cs="Times New Roman"/>
        </w:rPr>
        <w:t xml:space="preserve">olejnym celem było działanie wdrożeniowe polegające na zaimplementowaniu instalacji </w:t>
      </w:r>
      <w:proofErr w:type="spellStart"/>
      <w:r w:rsidR="0042128E" w:rsidRPr="00C11A24">
        <w:rPr>
          <w:rFonts w:cs="Times New Roman"/>
          <w:i/>
        </w:rPr>
        <w:t>Pepper’s</w:t>
      </w:r>
      <w:proofErr w:type="spellEnd"/>
      <w:r w:rsidR="0042128E" w:rsidRPr="00C11A24">
        <w:rPr>
          <w:rFonts w:cs="Times New Roman"/>
          <w:i/>
        </w:rPr>
        <w:t xml:space="preserve"> Ghost</w:t>
      </w:r>
      <w:r w:rsidR="0042128E" w:rsidRPr="00C11A24">
        <w:rPr>
          <w:rFonts w:cs="Times New Roman"/>
        </w:rPr>
        <w:t xml:space="preserve"> w przestrzeni wystawienniczej” (s. 14). </w:t>
      </w:r>
      <w:r w:rsidRPr="00C11A24">
        <w:rPr>
          <w:rFonts w:cs="Times New Roman"/>
        </w:rPr>
        <w:t xml:space="preserve">Chociaż w tych prezentowanych celach brakuje precyzji, można je uznać za dostatecznie dobrze sformułowane. </w:t>
      </w:r>
      <w:r w:rsidR="0042128E" w:rsidRPr="00C11A24">
        <w:rPr>
          <w:rFonts w:cs="Times New Roman"/>
        </w:rPr>
        <w:t xml:space="preserve">Nieco dalej Autor stwierdza również, iż cel badawczy, dotyczący oceny potencjału badanych technologii, ich historii w określonym środowisku wystawienniczym „został osiągnięty poprzez realizację następujących celów szczegółowych” </w:t>
      </w:r>
      <w:r w:rsidR="0042128E" w:rsidRPr="00C11A24">
        <w:rPr>
          <w:rFonts w:cs="Times New Roman"/>
        </w:rPr>
        <w:lastRenderedPageBreak/>
        <w:t xml:space="preserve">– nie pozostawia zatem oceny recenzentowi. A recenzent ma i tutaj wiele wątpliwości, wczytując się w tok myśli Autora. Celem </w:t>
      </w:r>
      <w:r w:rsidRPr="00C11A24">
        <w:rPr>
          <w:rFonts w:cs="Times New Roman"/>
        </w:rPr>
        <w:t xml:space="preserve">szczegółowym </w:t>
      </w:r>
      <w:r w:rsidR="0042128E" w:rsidRPr="00C11A24">
        <w:rPr>
          <w:rFonts w:cs="Times New Roman"/>
        </w:rPr>
        <w:t>nie jest na przykład „przegląd literatury, materiałów źródłowych oraz źródeł internetowych”. A nawet w tej wadliwej prezentacji „celu” wątpliwości budzi nieprecyzyjny – czy też zupełnie pozbawiony logiczności – podział: „przegląd literatury, materiałów źródłowych oraz źródeł internetowych”. Celem nie są też kwerendy, itp. (s. 14).</w:t>
      </w:r>
    </w:p>
    <w:p w:rsidR="005D558B" w:rsidRPr="00C11A24" w:rsidRDefault="005D558B" w:rsidP="00707E6C">
      <w:pPr>
        <w:spacing w:line="360" w:lineRule="auto"/>
        <w:ind w:firstLine="709"/>
        <w:jc w:val="both"/>
        <w:rPr>
          <w:rFonts w:cs="Times New Roman"/>
        </w:rPr>
      </w:pPr>
    </w:p>
    <w:p w:rsidR="005D558B" w:rsidRPr="00C11A24" w:rsidRDefault="005D558B" w:rsidP="00707E6C">
      <w:pPr>
        <w:spacing w:line="360" w:lineRule="auto"/>
        <w:ind w:firstLine="709"/>
        <w:jc w:val="both"/>
        <w:outlineLvl w:val="0"/>
        <w:rPr>
          <w:rFonts w:cs="Times New Roman"/>
          <w:b/>
        </w:rPr>
      </w:pPr>
      <w:r w:rsidRPr="00C11A24">
        <w:rPr>
          <w:rFonts w:cs="Times New Roman"/>
          <w:b/>
        </w:rPr>
        <w:t>3. Źródła, struktura pracy, uwagi i pytania</w:t>
      </w:r>
    </w:p>
    <w:p w:rsidR="00767961" w:rsidRPr="00C11A24" w:rsidRDefault="00767961" w:rsidP="00707E6C">
      <w:pPr>
        <w:spacing w:line="360" w:lineRule="auto"/>
        <w:ind w:firstLine="709"/>
        <w:jc w:val="both"/>
        <w:rPr>
          <w:rFonts w:cs="Times New Roman"/>
        </w:rPr>
      </w:pPr>
      <w:r w:rsidRPr="00C11A24">
        <w:rPr>
          <w:rFonts w:cs="Times New Roman"/>
        </w:rPr>
        <w:t xml:space="preserve">Mówiąc o źródłach dysertacji magistra Dariusza Skonieczko należy podkreślić ich wielkie zróżnicowanie. Ich prezentacja zawiera nie tylko druki, ale także film, materiały ilustracyjne, wyniki badań ankietowych, „obserwacje uczestniczącą”, rozmowy oraz sformalizowane wywiady. Autorka dostatecznie wykorzystał najbardziej reprezentatywną literaturę dotyczącą prezentowanej materii. Szkoda jednak, że zabrakło w niej niektórych, bardzo wartościowych prac w języku polskim, które w ostatnich latach poruszają problemy nurtujące działalność muzeów etnograficznych w Polsce i na świecie. Te braki może rozpocząć dawniejsza nieco – ale klasyczna – praca Wojciecha Gluziński ego, pt. </w:t>
      </w:r>
      <w:r w:rsidRPr="00C11A24">
        <w:rPr>
          <w:rFonts w:cs="Times New Roman"/>
          <w:i/>
        </w:rPr>
        <w:t>U podstaw muzeologii</w:t>
      </w:r>
      <w:r w:rsidRPr="00C11A24">
        <w:rPr>
          <w:rFonts w:cs="Times New Roman"/>
        </w:rPr>
        <w:t xml:space="preserve">, (Warszawa 1980). Nowsze zaś wydawnictwa to m.in. monografie Katarzyny Barańskiej: </w:t>
      </w:r>
      <w:r w:rsidRPr="00C11A24">
        <w:rPr>
          <w:rFonts w:cs="Times New Roman"/>
          <w:i/>
        </w:rPr>
        <w:t>Muzeum etnograficzne. Misje, struktury, strategie</w:t>
      </w:r>
      <w:r w:rsidRPr="00C11A24">
        <w:rPr>
          <w:rFonts w:cs="Times New Roman"/>
        </w:rPr>
        <w:t xml:space="preserve"> (Kraków 2004) oraz Muzeum w sieci znaczeń. Zarządzanie z perspektywy nauk humanistycznych (Kraków 2013). Na pewno też znacznym ubogaceniem byłyby nieco dawniejsze prace Czesława </w:t>
      </w:r>
      <w:proofErr w:type="spellStart"/>
      <w:r w:rsidRPr="00C11A24">
        <w:rPr>
          <w:rFonts w:cs="Times New Roman"/>
        </w:rPr>
        <w:t>Robotyckiego</w:t>
      </w:r>
      <w:proofErr w:type="spellEnd"/>
      <w:r w:rsidRPr="00C11A24">
        <w:rPr>
          <w:rFonts w:cs="Times New Roman"/>
        </w:rPr>
        <w:t xml:space="preserve"> </w:t>
      </w:r>
      <w:r w:rsidR="00284B1D" w:rsidRPr="00C11A24">
        <w:rPr>
          <w:rFonts w:cs="Times New Roman"/>
        </w:rPr>
        <w:t>(</w:t>
      </w:r>
      <w:r w:rsidRPr="00C11A24">
        <w:rPr>
          <w:rFonts w:cs="Times New Roman"/>
          <w:i/>
        </w:rPr>
        <w:t>Etnografia wobec kultury współczesnej</w:t>
      </w:r>
      <w:r w:rsidRPr="00C11A24">
        <w:rPr>
          <w:rFonts w:cs="Times New Roman"/>
        </w:rPr>
        <w:t>, Kraków 1992</w:t>
      </w:r>
      <w:r w:rsidR="00284B1D" w:rsidRPr="00C11A24">
        <w:rPr>
          <w:rFonts w:cs="Times New Roman"/>
        </w:rPr>
        <w:t xml:space="preserve">; </w:t>
      </w:r>
      <w:r w:rsidRPr="00C11A24">
        <w:rPr>
          <w:rFonts w:cs="Times New Roman"/>
          <w:i/>
        </w:rPr>
        <w:t>Teorie kultury a muzea etnograficzne</w:t>
      </w:r>
      <w:r w:rsidRPr="00C11A24">
        <w:rPr>
          <w:rFonts w:cs="Times New Roman"/>
        </w:rPr>
        <w:t xml:space="preserve">, „Śląskie Prace Etnograficzne”, </w:t>
      </w:r>
      <w:r w:rsidR="00284B1D" w:rsidRPr="00C11A24">
        <w:rPr>
          <w:rFonts w:cs="Times New Roman"/>
        </w:rPr>
        <w:t xml:space="preserve">1993, t. 2.; </w:t>
      </w:r>
      <w:r w:rsidRPr="00C11A24">
        <w:rPr>
          <w:rFonts w:cs="Times New Roman"/>
          <w:i/>
        </w:rPr>
        <w:t>Muzeum etnograficzne – miejsce dla rzeczy i idei</w:t>
      </w:r>
      <w:r w:rsidRPr="00C11A24">
        <w:rPr>
          <w:rFonts w:cs="Times New Roman"/>
        </w:rPr>
        <w:t xml:space="preserve"> [w:] </w:t>
      </w:r>
      <w:r w:rsidRPr="00C11A24">
        <w:rPr>
          <w:rFonts w:cs="Times New Roman"/>
          <w:i/>
        </w:rPr>
        <w:t>Nie wszystko jest oczywiste</w:t>
      </w:r>
      <w:r w:rsidRPr="00C11A24">
        <w:rPr>
          <w:rFonts w:cs="Times New Roman"/>
        </w:rPr>
        <w:t>, Kraków</w:t>
      </w:r>
      <w:r w:rsidR="00284B1D" w:rsidRPr="00C11A24">
        <w:rPr>
          <w:rFonts w:cs="Times New Roman"/>
        </w:rPr>
        <w:t>1998).</w:t>
      </w:r>
    </w:p>
    <w:p w:rsidR="00812757" w:rsidRPr="00C11A24" w:rsidRDefault="00812757" w:rsidP="00707E6C">
      <w:pPr>
        <w:spacing w:line="360" w:lineRule="auto"/>
        <w:ind w:firstLine="709"/>
        <w:jc w:val="both"/>
        <w:rPr>
          <w:rFonts w:cs="Times New Roman"/>
        </w:rPr>
      </w:pPr>
      <w:r w:rsidRPr="00C11A24">
        <w:rPr>
          <w:rStyle w:val="FontStyle81"/>
        </w:rPr>
        <w:t xml:space="preserve">Rozprawa doktorska </w:t>
      </w:r>
      <w:r w:rsidRPr="00C11A24">
        <w:rPr>
          <w:rFonts w:cs="Times New Roman"/>
        </w:rPr>
        <w:t>mgra Dariusza Skonieczko</w:t>
      </w:r>
      <w:r w:rsidRPr="00C11A24">
        <w:rPr>
          <w:rFonts w:cs="Times New Roman"/>
          <w:bCs/>
        </w:rPr>
        <w:t xml:space="preserve"> w swojej strukturze odbiega nieco od klasycznej dysertacji, na co wpływ z pewnością jej charakter wdrożeniowy. Z</w:t>
      </w:r>
      <w:r w:rsidRPr="00C11A24">
        <w:rPr>
          <w:rStyle w:val="FontStyle81"/>
        </w:rPr>
        <w:t>awiera ona spis treści, wstęp, opis pracy badawczej, cztery krótkie rozdziały, p</w:t>
      </w:r>
      <w:r w:rsidRPr="00C11A24">
        <w:rPr>
          <w:rFonts w:cs="Times New Roman"/>
        </w:rPr>
        <w:t xml:space="preserve">ublikacje wchodzące w skład rozprawy doktorskiej, aneksy, bibliografię i ilustracje. W jej strukturze można już zauważyć charakterystyczny dla </w:t>
      </w:r>
      <w:r w:rsidR="00F64BF0" w:rsidRPr="00C11A24">
        <w:rPr>
          <w:rFonts w:cs="Times New Roman"/>
        </w:rPr>
        <w:t xml:space="preserve">całości </w:t>
      </w:r>
      <w:r w:rsidRPr="00C11A24">
        <w:rPr>
          <w:rFonts w:cs="Times New Roman"/>
        </w:rPr>
        <w:t xml:space="preserve">pracy brak staranności. </w:t>
      </w:r>
      <w:r w:rsidR="00F64BF0" w:rsidRPr="00C11A24">
        <w:rPr>
          <w:rFonts w:cs="Times New Roman"/>
        </w:rPr>
        <w:t>Dostrzec</w:t>
      </w:r>
      <w:r w:rsidRPr="00C11A24">
        <w:rPr>
          <w:rFonts w:cs="Times New Roman"/>
        </w:rPr>
        <w:t xml:space="preserve"> ją można nawet w spisie treści, który we zawiera jeden tylko podpunkt (</w:t>
      </w:r>
      <w:r w:rsidRPr="00C11A24">
        <w:rPr>
          <w:rFonts w:cs="Times New Roman"/>
          <w:i/>
        </w:rPr>
        <w:t>1.1 Przegląd literatury</w:t>
      </w:r>
      <w:r w:rsidR="00F64BF0" w:rsidRPr="00C11A24">
        <w:rPr>
          <w:rFonts w:cs="Times New Roman"/>
        </w:rPr>
        <w:t>).</w:t>
      </w:r>
      <w:r w:rsidRPr="00C11A24">
        <w:rPr>
          <w:rFonts w:cs="Times New Roman"/>
        </w:rPr>
        <w:t xml:space="preserve"> Poza nim nie ma innego. Czytelnik doktoratu zatem zauważa od razu brak logicznego podziału, gdyż każdy zbiór przy podziale powinien zawierać przynajmniej dwa podzbiory. Ale w treści pracy czytelnik </w:t>
      </w:r>
      <w:r w:rsidR="00F64BF0" w:rsidRPr="00C11A24">
        <w:rPr>
          <w:rFonts w:cs="Times New Roman"/>
        </w:rPr>
        <w:t>może doszukać się</w:t>
      </w:r>
      <w:r w:rsidRPr="00C11A24">
        <w:rPr>
          <w:rFonts w:cs="Times New Roman"/>
        </w:rPr>
        <w:t xml:space="preserve"> jednak, że punkt </w:t>
      </w:r>
      <w:r w:rsidR="00F64BF0" w:rsidRPr="00C11A24">
        <w:rPr>
          <w:rFonts w:cs="Times New Roman"/>
        </w:rPr>
        <w:t xml:space="preserve">nr </w:t>
      </w:r>
      <w:r w:rsidRPr="00C11A24">
        <w:rPr>
          <w:rFonts w:cs="Times New Roman"/>
        </w:rPr>
        <w:t>2 w spisie treści powinien być punktem o numerze 1.2. (</w:t>
      </w:r>
      <w:r w:rsidRPr="00C11A24">
        <w:rPr>
          <w:rFonts w:cs="Times New Roman"/>
          <w:i/>
        </w:rPr>
        <w:t>1.2.</w:t>
      </w:r>
      <w:r w:rsidRPr="00C11A24">
        <w:rPr>
          <w:rFonts w:cs="Times New Roman"/>
        </w:rPr>
        <w:t xml:space="preserve"> </w:t>
      </w:r>
      <w:r w:rsidRPr="00C11A24">
        <w:rPr>
          <w:rFonts w:cs="Times New Roman"/>
          <w:i/>
        </w:rPr>
        <w:t>Wykaz publikacji i konferencji naukowych będących podstawą rozprawy doktorskiej</w:t>
      </w:r>
      <w:r w:rsidRPr="00C11A24">
        <w:rPr>
          <w:rFonts w:cs="Times New Roman"/>
        </w:rPr>
        <w:t>)</w:t>
      </w:r>
      <w:r w:rsidR="00F64BF0" w:rsidRPr="00C11A24">
        <w:rPr>
          <w:rFonts w:cs="Times New Roman"/>
        </w:rPr>
        <w:t>.</w:t>
      </w:r>
      <w:r w:rsidRPr="00C11A24">
        <w:rPr>
          <w:rFonts w:cs="Times New Roman"/>
        </w:rPr>
        <w:t xml:space="preserve"> </w:t>
      </w:r>
      <w:r w:rsidR="00F64BF0" w:rsidRPr="00C11A24">
        <w:rPr>
          <w:rFonts w:cs="Times New Roman"/>
        </w:rPr>
        <w:t>N</w:t>
      </w:r>
      <w:r w:rsidRPr="00C11A24">
        <w:rPr>
          <w:rFonts w:cs="Times New Roman"/>
        </w:rPr>
        <w:t xml:space="preserve">a </w:t>
      </w:r>
      <w:r w:rsidRPr="00C11A24">
        <w:rPr>
          <w:rFonts w:cs="Times New Roman"/>
        </w:rPr>
        <w:lastRenderedPageBreak/>
        <w:t xml:space="preserve">dodatek </w:t>
      </w:r>
      <w:r w:rsidR="00F64BF0" w:rsidRPr="00C11A24">
        <w:rPr>
          <w:rFonts w:cs="Times New Roman"/>
        </w:rPr>
        <w:t>powinien on zawierać</w:t>
      </w:r>
      <w:r w:rsidRPr="00C11A24">
        <w:rPr>
          <w:rFonts w:cs="Times New Roman"/>
        </w:rPr>
        <w:t xml:space="preserve"> bardziej precyzyjny tytułem: </w:t>
      </w:r>
      <w:r w:rsidRPr="00C11A24">
        <w:rPr>
          <w:rFonts w:cs="Times New Roman"/>
          <w:i/>
        </w:rPr>
        <w:t xml:space="preserve">Wykaz publikacji i konferencji naukowych </w:t>
      </w:r>
      <w:r w:rsidRPr="00C11A24">
        <w:rPr>
          <w:rFonts w:cs="Times New Roman"/>
          <w:b/>
          <w:i/>
        </w:rPr>
        <w:t>Autora</w:t>
      </w:r>
      <w:r w:rsidRPr="00C11A24">
        <w:rPr>
          <w:rFonts w:cs="Times New Roman"/>
          <w:i/>
        </w:rPr>
        <w:t>…</w:t>
      </w:r>
      <w:r w:rsidRPr="00C11A24">
        <w:rPr>
          <w:rFonts w:cs="Times New Roman"/>
        </w:rPr>
        <w:t xml:space="preserve"> (</w:t>
      </w:r>
      <w:r w:rsidR="00F64BF0" w:rsidRPr="00C11A24">
        <w:rPr>
          <w:rFonts w:cs="Times New Roman"/>
        </w:rPr>
        <w:t xml:space="preserve">podkreślenie moje - </w:t>
      </w:r>
      <w:r w:rsidRPr="00C11A24">
        <w:rPr>
          <w:rFonts w:cs="Times New Roman"/>
        </w:rPr>
        <w:t>s. 12)</w:t>
      </w:r>
      <w:r w:rsidR="00F64BF0" w:rsidRPr="00C11A24">
        <w:rPr>
          <w:rFonts w:cs="Times New Roman"/>
        </w:rPr>
        <w:t>, gdyż brak tego uściślenia powoduje zamęt</w:t>
      </w:r>
      <w:r w:rsidRPr="00C11A24">
        <w:rPr>
          <w:rFonts w:cs="Times New Roman"/>
        </w:rPr>
        <w:t xml:space="preserve">. </w:t>
      </w:r>
      <w:r w:rsidR="00F64BF0" w:rsidRPr="00C11A24">
        <w:rPr>
          <w:rFonts w:cs="Times New Roman"/>
        </w:rPr>
        <w:t>Ta pomyłka z</w:t>
      </w:r>
      <w:r w:rsidRPr="00C11A24">
        <w:rPr>
          <w:rFonts w:cs="Times New Roman"/>
        </w:rPr>
        <w:t>mienia zupełnie numeracj</w:t>
      </w:r>
      <w:r w:rsidR="00F64BF0" w:rsidRPr="00C11A24">
        <w:rPr>
          <w:rFonts w:cs="Times New Roman"/>
        </w:rPr>
        <w:t>ę</w:t>
      </w:r>
      <w:r w:rsidRPr="00C11A24">
        <w:rPr>
          <w:rFonts w:cs="Times New Roman"/>
        </w:rPr>
        <w:t xml:space="preserve"> poszczególnych rozdziałów</w:t>
      </w:r>
      <w:r w:rsidR="00F64BF0" w:rsidRPr="00C11A24">
        <w:rPr>
          <w:rFonts w:cs="Times New Roman"/>
        </w:rPr>
        <w:t xml:space="preserve"> pracy</w:t>
      </w:r>
      <w:r w:rsidRPr="00C11A24">
        <w:rPr>
          <w:rFonts w:cs="Times New Roman"/>
        </w:rPr>
        <w:t>.</w:t>
      </w:r>
    </w:p>
    <w:p w:rsidR="00812757" w:rsidRPr="00C11A24" w:rsidRDefault="00F64BF0" w:rsidP="00707E6C">
      <w:pPr>
        <w:spacing w:line="360" w:lineRule="auto"/>
        <w:ind w:firstLine="709"/>
        <w:jc w:val="both"/>
        <w:rPr>
          <w:rFonts w:cs="Times New Roman"/>
        </w:rPr>
      </w:pPr>
      <w:r w:rsidRPr="00C11A24">
        <w:rPr>
          <w:rFonts w:cs="Times New Roman"/>
        </w:rPr>
        <w:t>Wewnątrz dysertacji</w:t>
      </w:r>
      <w:r w:rsidR="00812757" w:rsidRPr="00C11A24">
        <w:rPr>
          <w:rFonts w:cs="Times New Roman"/>
        </w:rPr>
        <w:t xml:space="preserve"> znaleźć można także „aneksy”. Z pracy badawczej wynika, że przedstawione w „aneksach” filmy (dodajmy – bardzo nieprecyzyjnie opisane z punktu widzenia bibliograficznego) są istotna częścią pracy. Ale umieszczenie ich w punkcie „aneksy”, kłóci się z przyjętym porządkiem prac naukowych, w których a</w:t>
      </w:r>
      <w:r w:rsidR="00812757" w:rsidRPr="00C11A24">
        <w:rPr>
          <w:rFonts w:eastAsia="Calibri" w:cs="Times New Roman"/>
        </w:rPr>
        <w:t xml:space="preserve">neksy nie stanowią integralnej części pracy. Są dodatkiem, </w:t>
      </w:r>
      <w:r w:rsidR="00812757" w:rsidRPr="00C11A24">
        <w:rPr>
          <w:rFonts w:cs="Times New Roman"/>
        </w:rPr>
        <w:t>aczkolwiek</w:t>
      </w:r>
      <w:r w:rsidR="00812757" w:rsidRPr="00C11A24">
        <w:rPr>
          <w:rFonts w:eastAsia="Calibri" w:cs="Times New Roman"/>
        </w:rPr>
        <w:t xml:space="preserve"> bardzo pożądanym. </w:t>
      </w:r>
      <w:r w:rsidR="00812757" w:rsidRPr="00C11A24">
        <w:rPr>
          <w:rFonts w:cs="Times New Roman"/>
        </w:rPr>
        <w:t>A zatem ze swej natury aneksy umieszcza się poza istotną częścią pracy, po zakończeniu i bibliografii.</w:t>
      </w:r>
      <w:r w:rsidRPr="00C11A24">
        <w:rPr>
          <w:rFonts w:cs="Times New Roman"/>
        </w:rPr>
        <w:t xml:space="preserve"> Należałoby zatem zmienić tytuł teku punktu pracy.</w:t>
      </w:r>
    </w:p>
    <w:p w:rsidR="00812757" w:rsidRPr="00C11A24" w:rsidRDefault="00F64BF0" w:rsidP="00707E6C">
      <w:pPr>
        <w:spacing w:line="360" w:lineRule="auto"/>
        <w:ind w:firstLine="709"/>
        <w:jc w:val="both"/>
        <w:rPr>
          <w:rFonts w:eastAsia="Calibri" w:cs="Times New Roman"/>
          <w:szCs w:val="24"/>
        </w:rPr>
      </w:pPr>
      <w:r w:rsidRPr="00C11A24">
        <w:rPr>
          <w:rFonts w:cs="Times New Roman"/>
        </w:rPr>
        <w:t>R</w:t>
      </w:r>
      <w:r w:rsidR="00812757" w:rsidRPr="00C11A24">
        <w:rPr>
          <w:rFonts w:cs="Times New Roman"/>
        </w:rPr>
        <w:t>ecenzent</w:t>
      </w:r>
      <w:r w:rsidRPr="00C11A24">
        <w:rPr>
          <w:rFonts w:cs="Times New Roman"/>
        </w:rPr>
        <w:t>owi</w:t>
      </w:r>
      <w:r w:rsidR="00812757" w:rsidRPr="00C11A24">
        <w:rPr>
          <w:rFonts w:cs="Times New Roman"/>
        </w:rPr>
        <w:t xml:space="preserve">, który </w:t>
      </w:r>
      <w:r w:rsidRPr="00C11A24">
        <w:rPr>
          <w:rFonts w:cs="Times New Roman"/>
        </w:rPr>
        <w:t>przyzwyczajony jest to bardziej tradycyjnej struktury dysertacji,</w:t>
      </w:r>
      <w:r w:rsidR="00812757" w:rsidRPr="00C11A24">
        <w:rPr>
          <w:rFonts w:cs="Times New Roman"/>
        </w:rPr>
        <w:t xml:space="preserve"> bardzo trudny jest zaakceptowa</w:t>
      </w:r>
      <w:r w:rsidRPr="00C11A24">
        <w:rPr>
          <w:rFonts w:cs="Times New Roman"/>
        </w:rPr>
        <w:t>ć</w:t>
      </w:r>
      <w:r w:rsidR="00812757" w:rsidRPr="00C11A24">
        <w:rPr>
          <w:rFonts w:cs="Times New Roman"/>
        </w:rPr>
        <w:t xml:space="preserve"> brak klasycznego „Zakończenia” pracy, które z reguły stanowi </w:t>
      </w:r>
      <w:r w:rsidR="00812757" w:rsidRPr="00C11A24">
        <w:rPr>
          <w:rFonts w:eastAsia="Calibri" w:cs="Times New Roman"/>
        </w:rPr>
        <w:t xml:space="preserve">swego rodzaju </w:t>
      </w:r>
      <w:r w:rsidR="00812757" w:rsidRPr="00C11A24">
        <w:rPr>
          <w:rFonts w:cs="Times New Roman"/>
        </w:rPr>
        <w:t xml:space="preserve">jej </w:t>
      </w:r>
      <w:r w:rsidR="00812757" w:rsidRPr="00C11A24">
        <w:rPr>
          <w:rFonts w:eastAsia="Calibri" w:cs="Times New Roman"/>
        </w:rPr>
        <w:t>bilans</w:t>
      </w:r>
      <w:r w:rsidR="00812757" w:rsidRPr="00C11A24">
        <w:rPr>
          <w:rFonts w:cs="Times New Roman"/>
        </w:rPr>
        <w:t>,</w:t>
      </w:r>
      <w:r w:rsidR="00812757" w:rsidRPr="00C11A24">
        <w:rPr>
          <w:rFonts w:eastAsia="Calibri" w:cs="Times New Roman"/>
        </w:rPr>
        <w:t xml:space="preserve"> klamr</w:t>
      </w:r>
      <w:r w:rsidR="00812757" w:rsidRPr="00C11A24">
        <w:rPr>
          <w:rFonts w:cs="Times New Roman"/>
        </w:rPr>
        <w:t xml:space="preserve">ę dla całości. </w:t>
      </w:r>
      <w:r w:rsidR="00812757" w:rsidRPr="00C11A24">
        <w:rPr>
          <w:rFonts w:eastAsia="Calibri" w:cs="Times New Roman"/>
          <w:szCs w:val="24"/>
        </w:rPr>
        <w:t xml:space="preserve">Stawia się </w:t>
      </w:r>
      <w:r w:rsidR="00812757" w:rsidRPr="00C11A24">
        <w:rPr>
          <w:rFonts w:cs="Times New Roman"/>
          <w:szCs w:val="24"/>
        </w:rPr>
        <w:t>w nim zazwyczaj</w:t>
      </w:r>
      <w:r w:rsidR="00812757" w:rsidRPr="00C11A24">
        <w:rPr>
          <w:rFonts w:eastAsia="Calibri" w:cs="Times New Roman"/>
          <w:szCs w:val="24"/>
        </w:rPr>
        <w:t xml:space="preserve"> raz jeszcz</w:t>
      </w:r>
      <w:r w:rsidR="00812757" w:rsidRPr="00C11A24">
        <w:rPr>
          <w:rFonts w:cs="Times New Roman"/>
          <w:szCs w:val="24"/>
        </w:rPr>
        <w:t>e tezę pracy i jej uzasadnienie, o</w:t>
      </w:r>
      <w:r w:rsidR="00812757" w:rsidRPr="00C11A24">
        <w:rPr>
          <w:rFonts w:eastAsia="Calibri" w:cs="Times New Roman"/>
          <w:szCs w:val="24"/>
        </w:rPr>
        <w:t xml:space="preserve">cenia się także na ile i jak udało się </w:t>
      </w:r>
      <w:r w:rsidR="00812757" w:rsidRPr="00C11A24">
        <w:rPr>
          <w:rFonts w:cs="Times New Roman"/>
          <w:szCs w:val="24"/>
        </w:rPr>
        <w:t>ją</w:t>
      </w:r>
      <w:r w:rsidR="00812757" w:rsidRPr="00C11A24">
        <w:rPr>
          <w:rFonts w:eastAsia="Calibri" w:cs="Times New Roman"/>
          <w:szCs w:val="24"/>
        </w:rPr>
        <w:t xml:space="preserve"> udowodnić</w:t>
      </w:r>
      <w:r w:rsidR="00812757" w:rsidRPr="00C11A24">
        <w:rPr>
          <w:rFonts w:cs="Times New Roman"/>
          <w:szCs w:val="24"/>
        </w:rPr>
        <w:t>, p</w:t>
      </w:r>
      <w:r w:rsidR="00812757" w:rsidRPr="00C11A24">
        <w:rPr>
          <w:rFonts w:eastAsia="Calibri" w:cs="Times New Roman"/>
          <w:szCs w:val="24"/>
        </w:rPr>
        <w:t xml:space="preserve">odaje się ograniczniki </w:t>
      </w:r>
      <w:r w:rsidR="00812757" w:rsidRPr="00C11A24">
        <w:rPr>
          <w:rFonts w:cs="Times New Roman"/>
          <w:szCs w:val="24"/>
        </w:rPr>
        <w:t>i ewentualnie</w:t>
      </w:r>
      <w:r w:rsidR="00812757" w:rsidRPr="00C11A24">
        <w:rPr>
          <w:rFonts w:eastAsia="Calibri" w:cs="Times New Roman"/>
          <w:szCs w:val="24"/>
        </w:rPr>
        <w:t xml:space="preserve"> wskaz</w:t>
      </w:r>
      <w:r w:rsidR="00812757" w:rsidRPr="00C11A24">
        <w:rPr>
          <w:rFonts w:cs="Times New Roman"/>
          <w:szCs w:val="24"/>
        </w:rPr>
        <w:t>uje</w:t>
      </w:r>
      <w:r w:rsidR="00812757" w:rsidRPr="00C11A24">
        <w:rPr>
          <w:rFonts w:eastAsia="Calibri" w:cs="Times New Roman"/>
          <w:szCs w:val="24"/>
        </w:rPr>
        <w:t xml:space="preserve"> na inn</w:t>
      </w:r>
      <w:r w:rsidR="00812757" w:rsidRPr="00C11A24">
        <w:rPr>
          <w:rFonts w:cs="Times New Roman"/>
          <w:szCs w:val="24"/>
        </w:rPr>
        <w:t>e, potrzebne pole badań związanych</w:t>
      </w:r>
      <w:r w:rsidR="00812757" w:rsidRPr="00C11A24">
        <w:rPr>
          <w:rFonts w:eastAsia="Calibri" w:cs="Times New Roman"/>
          <w:szCs w:val="24"/>
        </w:rPr>
        <w:t xml:space="preserve"> z pracą, które nie zostało </w:t>
      </w:r>
      <w:r w:rsidR="00812757" w:rsidRPr="00C11A24">
        <w:rPr>
          <w:rFonts w:cs="Times New Roman"/>
          <w:szCs w:val="24"/>
        </w:rPr>
        <w:t xml:space="preserve">w niej </w:t>
      </w:r>
      <w:r w:rsidR="00812757" w:rsidRPr="00C11A24">
        <w:rPr>
          <w:rFonts w:eastAsia="Calibri" w:cs="Times New Roman"/>
          <w:szCs w:val="24"/>
        </w:rPr>
        <w:t>uwzględnione.</w:t>
      </w:r>
    </w:p>
    <w:p w:rsidR="00CC3F61" w:rsidRPr="00C11A24" w:rsidRDefault="001C69C3" w:rsidP="00707E6C">
      <w:pPr>
        <w:spacing w:line="360" w:lineRule="auto"/>
        <w:ind w:firstLine="709"/>
        <w:jc w:val="both"/>
        <w:rPr>
          <w:rFonts w:cs="Times New Roman"/>
        </w:rPr>
      </w:pPr>
      <w:r w:rsidRPr="00C11A24">
        <w:rPr>
          <w:rFonts w:cs="Times New Roman"/>
        </w:rPr>
        <w:t xml:space="preserve">Oceniając pracę głownie z punktu widzenia nauk o kulturze i religii autor recenzji na rozdział pt. </w:t>
      </w:r>
      <w:r w:rsidRPr="00C11A24">
        <w:rPr>
          <w:rFonts w:cs="Times New Roman"/>
          <w:i/>
        </w:rPr>
        <w:t>Od muzeologii do dekolonizacji</w:t>
      </w:r>
      <w:r w:rsidRPr="00C11A24">
        <w:rPr>
          <w:rFonts w:cs="Times New Roman"/>
        </w:rPr>
        <w:t>. Wydaje się, że przeprowadzając ciekawą analizę związku muzealnictwa z koncepcjami dekolonizacji Autor zbytnio uogólnia – na podstawie wybranych muzeów i przypadków – sytuacje muzealnictwa na całym kontynencie, na dodatek muzealnictwa bardzo zróżnicowanego. Relacja między dziedzictwem kulturowym jako takim a instytucją muzeum jest niezwykle skomplikowana i wieloaspektowa. Dotyczyło to starych problemów, pojawiających się już kilkadziesiąt lat temu, ale i tych nowszych, związanych m.in. z dekolonizacją</w:t>
      </w:r>
      <w:r w:rsidR="00CC3F61" w:rsidRPr="00C11A24">
        <w:rPr>
          <w:rFonts w:cs="Times New Roman"/>
        </w:rPr>
        <w:t xml:space="preserve">. W relacji tej </w:t>
      </w:r>
      <w:r w:rsidRPr="00C11A24">
        <w:rPr>
          <w:rFonts w:cs="Times New Roman"/>
        </w:rPr>
        <w:t>muzea</w:t>
      </w:r>
      <w:r w:rsidR="00CC3F61" w:rsidRPr="00C11A24">
        <w:rPr>
          <w:rFonts w:cs="Times New Roman"/>
        </w:rPr>
        <w:t xml:space="preserve"> </w:t>
      </w:r>
      <w:r w:rsidRPr="00C11A24">
        <w:rPr>
          <w:rFonts w:cs="Times New Roman"/>
        </w:rPr>
        <w:t>wpływają</w:t>
      </w:r>
      <w:r w:rsidR="00CC3F61" w:rsidRPr="00C11A24">
        <w:rPr>
          <w:rFonts w:cs="Times New Roman"/>
        </w:rPr>
        <w:t xml:space="preserve"> </w:t>
      </w:r>
      <w:r w:rsidRPr="00C11A24">
        <w:rPr>
          <w:rFonts w:cs="Times New Roman"/>
        </w:rPr>
        <w:t>na</w:t>
      </w:r>
      <w:r w:rsidR="00CC3F61" w:rsidRPr="00C11A24">
        <w:rPr>
          <w:rFonts w:cs="Times New Roman"/>
        </w:rPr>
        <w:t xml:space="preserve"> postrzeganie </w:t>
      </w:r>
      <w:r w:rsidRPr="00C11A24">
        <w:rPr>
          <w:rFonts w:cs="Times New Roman"/>
        </w:rPr>
        <w:t>dziedzictw</w:t>
      </w:r>
      <w:r w:rsidR="00CC3F61" w:rsidRPr="00C11A24">
        <w:rPr>
          <w:rFonts w:cs="Times New Roman"/>
        </w:rPr>
        <w:t xml:space="preserve">a kulturowego, chociażby poprzez </w:t>
      </w:r>
      <w:r w:rsidRPr="00C11A24">
        <w:rPr>
          <w:rFonts w:cs="Times New Roman"/>
        </w:rPr>
        <w:t>kolekcjonowanie</w:t>
      </w:r>
      <w:r w:rsidR="00CC3F61" w:rsidRPr="00C11A24">
        <w:rPr>
          <w:rFonts w:cs="Times New Roman"/>
        </w:rPr>
        <w:t xml:space="preserve"> takich a nie innych zbiorów, </w:t>
      </w:r>
      <w:r w:rsidRPr="00C11A24">
        <w:rPr>
          <w:rFonts w:cs="Times New Roman"/>
        </w:rPr>
        <w:t>tworzenie</w:t>
      </w:r>
      <w:r w:rsidR="00CC3F61" w:rsidRPr="00C11A24">
        <w:rPr>
          <w:rFonts w:cs="Times New Roman"/>
        </w:rPr>
        <w:t xml:space="preserve"> takich a nie innych </w:t>
      </w:r>
      <w:r w:rsidRPr="00C11A24">
        <w:rPr>
          <w:rFonts w:cs="Times New Roman"/>
        </w:rPr>
        <w:t>ekspozycji,</w:t>
      </w:r>
      <w:r w:rsidR="00CC3F61" w:rsidRPr="00C11A24">
        <w:rPr>
          <w:rFonts w:cs="Times New Roman"/>
        </w:rPr>
        <w:t xml:space="preserve"> </w:t>
      </w:r>
      <w:r w:rsidRPr="00C11A24">
        <w:rPr>
          <w:rFonts w:cs="Times New Roman"/>
        </w:rPr>
        <w:t>ale</w:t>
      </w:r>
      <w:r w:rsidR="00CC3F61" w:rsidRPr="00C11A24">
        <w:rPr>
          <w:rFonts w:cs="Times New Roman"/>
        </w:rPr>
        <w:t xml:space="preserve"> </w:t>
      </w:r>
      <w:r w:rsidRPr="00C11A24">
        <w:rPr>
          <w:rFonts w:cs="Times New Roman"/>
        </w:rPr>
        <w:t>także</w:t>
      </w:r>
      <w:r w:rsidR="00CC3F61" w:rsidRPr="00C11A24">
        <w:rPr>
          <w:rFonts w:cs="Times New Roman"/>
        </w:rPr>
        <w:t xml:space="preserve"> refleksja kulturowa</w:t>
      </w:r>
      <w:r w:rsidRPr="00C11A24">
        <w:rPr>
          <w:rFonts w:cs="Times New Roman"/>
        </w:rPr>
        <w:t xml:space="preserve"> </w:t>
      </w:r>
      <w:r w:rsidR="00CC3F61" w:rsidRPr="00C11A24">
        <w:rPr>
          <w:rFonts w:cs="Times New Roman"/>
        </w:rPr>
        <w:t xml:space="preserve">nad </w:t>
      </w:r>
      <w:r w:rsidRPr="00C11A24">
        <w:rPr>
          <w:rFonts w:cs="Times New Roman"/>
        </w:rPr>
        <w:t>dziedzictw</w:t>
      </w:r>
      <w:r w:rsidR="00CC3F61" w:rsidRPr="00C11A24">
        <w:rPr>
          <w:rFonts w:cs="Times New Roman"/>
        </w:rPr>
        <w:t xml:space="preserve">em i tworzeniem się </w:t>
      </w:r>
      <w:r w:rsidRPr="00C11A24">
        <w:rPr>
          <w:rFonts w:cs="Times New Roman"/>
        </w:rPr>
        <w:t>tożsamości</w:t>
      </w:r>
      <w:r w:rsidR="00CC3F61" w:rsidRPr="00C11A24">
        <w:rPr>
          <w:rFonts w:cs="Times New Roman"/>
        </w:rPr>
        <w:t xml:space="preserve"> zbiorowej ma </w:t>
      </w:r>
      <w:r w:rsidRPr="00C11A24">
        <w:rPr>
          <w:rFonts w:cs="Times New Roman"/>
        </w:rPr>
        <w:t>wpływ</w:t>
      </w:r>
      <w:r w:rsidR="00CC3F61" w:rsidRPr="00C11A24">
        <w:rPr>
          <w:rFonts w:cs="Times New Roman"/>
        </w:rPr>
        <w:t xml:space="preserve"> na </w:t>
      </w:r>
      <w:r w:rsidRPr="00C11A24">
        <w:rPr>
          <w:rFonts w:cs="Times New Roman"/>
        </w:rPr>
        <w:t>pracę</w:t>
      </w:r>
      <w:r w:rsidR="00CC3F61" w:rsidRPr="00C11A24">
        <w:rPr>
          <w:rFonts w:cs="Times New Roman"/>
        </w:rPr>
        <w:t xml:space="preserve"> muzeów. Gromadzone kolekcje i ich prezentacja zależą niemal zawsze od ideologii związanych z dominującą kulturą, </w:t>
      </w:r>
      <w:r w:rsidR="00FD22B9" w:rsidRPr="00C11A24">
        <w:rPr>
          <w:rFonts w:cs="Times New Roman"/>
        </w:rPr>
        <w:t>także spojrzeniem na inne kultury</w:t>
      </w:r>
      <w:r w:rsidR="00CC3F61" w:rsidRPr="00C11A24">
        <w:rPr>
          <w:rFonts w:cs="Times New Roman"/>
        </w:rPr>
        <w:t xml:space="preserve">. </w:t>
      </w:r>
      <w:r w:rsidR="00FD22B9" w:rsidRPr="00C11A24">
        <w:rPr>
          <w:rFonts w:cs="Times New Roman"/>
        </w:rPr>
        <w:t>Z kolei nagromadzone w Europie eksponaty mogą wielu grupom etnicznym pozwolić</w:t>
      </w:r>
      <w:r w:rsidR="00CC3F61" w:rsidRPr="00C11A24">
        <w:rPr>
          <w:rFonts w:cs="Times New Roman"/>
        </w:rPr>
        <w:t xml:space="preserve"> na nowo określić ich współczesną tożsamość.</w:t>
      </w:r>
      <w:r w:rsidR="00FD22B9" w:rsidRPr="00C11A24">
        <w:rPr>
          <w:rFonts w:cs="Times New Roman"/>
        </w:rPr>
        <w:t xml:space="preserve"> </w:t>
      </w:r>
      <w:r w:rsidR="00CC3F61" w:rsidRPr="00C11A24">
        <w:rPr>
          <w:rFonts w:cs="Times New Roman"/>
        </w:rPr>
        <w:t xml:space="preserve">W tym szerokim kontekście nie można podporządkować wszystkich racji i wartości względom praktycznym (merkantylnym), jak na przykład troska o zabezpieczenie zbiorów. </w:t>
      </w:r>
    </w:p>
    <w:p w:rsidR="00FD22B9" w:rsidRPr="00C11A24" w:rsidRDefault="00CC3F61" w:rsidP="00707E6C">
      <w:pPr>
        <w:spacing w:line="360" w:lineRule="auto"/>
        <w:ind w:firstLine="709"/>
        <w:jc w:val="both"/>
        <w:rPr>
          <w:rFonts w:cs="Times New Roman"/>
        </w:rPr>
      </w:pPr>
      <w:r w:rsidRPr="00C11A24">
        <w:rPr>
          <w:rFonts w:cs="Times New Roman"/>
        </w:rPr>
        <w:lastRenderedPageBreak/>
        <w:t xml:space="preserve">Z przebiegu pracy badawczej Autora dysertacji zauważyć można, iż </w:t>
      </w:r>
      <w:r w:rsidR="00FD22B9" w:rsidRPr="00C11A24">
        <w:rPr>
          <w:rFonts w:cs="Times New Roman"/>
        </w:rPr>
        <w:t>Autor w dużej mierze koncentruje się na aspekcie wdrożeniowym, pomijając jakże pasjonujące dzisiaj świat antropologów i muzealników kwestie dotykające zarysowanej wyżej relacji</w:t>
      </w:r>
      <w:r w:rsidR="00FD22B9" w:rsidRPr="00C11A24">
        <w:rPr>
          <w:rFonts w:cs="Times New Roman"/>
          <w:color w:val="333333"/>
          <w:szCs w:val="24"/>
          <w:shd w:val="clear" w:color="auto" w:fill="FFFFFF"/>
        </w:rPr>
        <w:t xml:space="preserve"> dziedzictwa </w:t>
      </w:r>
      <w:r w:rsidR="00FD22B9" w:rsidRPr="00C11A24">
        <w:rPr>
          <w:rFonts w:cs="Times New Roman"/>
        </w:rPr>
        <w:t xml:space="preserve">kulturowego i muzeum. Ostatnia reforma systemu nauki i szkolnictwa wyższego wprowadziła możliwość realizacji tego typu doktoratu we współpracy z zatrudniającymi doktorantów instytucjami. Efektem rozprawy doktorskiej ma być pomoc w rozwiązaniu praktycznego problemu, istniejącego w instytucji, w naszym studium przypadku – muzeum etnograficznym. Zaproponowane przez doktoranta zagadnienie badawcze uzyskało aprobatę tak promotora, jak i muzeum etnograficznego. Wydaje się, iż przedstawiony w dysertacji problem wdrożeniowy, dotyczący wykorzystania technologii hologramu 3D oraz </w:t>
      </w:r>
      <w:proofErr w:type="spellStart"/>
      <w:r w:rsidR="00FD22B9" w:rsidRPr="00C11A24">
        <w:rPr>
          <w:rFonts w:cs="Times New Roman"/>
          <w:i/>
        </w:rPr>
        <w:t>Pepper’s</w:t>
      </w:r>
      <w:proofErr w:type="spellEnd"/>
      <w:r w:rsidR="00FD22B9" w:rsidRPr="00C11A24">
        <w:rPr>
          <w:rFonts w:cs="Times New Roman"/>
          <w:i/>
        </w:rPr>
        <w:t xml:space="preserve"> Ghost</w:t>
      </w:r>
      <w:r w:rsidR="00FD22B9" w:rsidRPr="00C11A24">
        <w:rPr>
          <w:rFonts w:cs="Times New Roman"/>
        </w:rPr>
        <w:t xml:space="preserve"> w przestrzeniach wystawowych muzeum jako środka interaktywnej komunikacji z widzem został dobrze przedstawiony i zawiera ciekawe rozwiązania, które mogą posłużyć innowacyjnym rozwiązaniom. Jest to o tyle ważne, iż dzisiaj muzea stają się społecznym aktorem, przeznaczonym dla publiczności</w:t>
      </w:r>
      <w:r w:rsidR="00ED76EE" w:rsidRPr="00C11A24">
        <w:rPr>
          <w:rFonts w:cs="Times New Roman"/>
        </w:rPr>
        <w:t>, a wśród muzealników t</w:t>
      </w:r>
      <w:r w:rsidR="00FD22B9" w:rsidRPr="00C11A24">
        <w:rPr>
          <w:rFonts w:cs="Times New Roman"/>
        </w:rPr>
        <w:t xml:space="preserve">rwa </w:t>
      </w:r>
      <w:r w:rsidR="00ED76EE" w:rsidRPr="00C11A24">
        <w:rPr>
          <w:rFonts w:cs="Times New Roman"/>
        </w:rPr>
        <w:t>wciąż dyskusja i prześciganie się w</w:t>
      </w:r>
      <w:r w:rsidR="00FD22B9" w:rsidRPr="00C11A24">
        <w:rPr>
          <w:rFonts w:cs="Times New Roman"/>
        </w:rPr>
        <w:t xml:space="preserve"> wymyślani</w:t>
      </w:r>
      <w:r w:rsidR="00ED76EE" w:rsidRPr="00C11A24">
        <w:rPr>
          <w:rFonts w:cs="Times New Roman"/>
        </w:rPr>
        <w:t>u</w:t>
      </w:r>
      <w:r w:rsidR="00FD22B9" w:rsidRPr="00C11A24">
        <w:rPr>
          <w:rFonts w:cs="Times New Roman"/>
        </w:rPr>
        <w:t xml:space="preserve"> nowych sposobów kategoryzacji artefaktów oraz metod ich ekspozycji na wystawach</w:t>
      </w:r>
      <w:hyperlink r:id="rId7" w:anchor="cite_note-:0-2" w:history="1">
        <w:r w:rsidR="00ED76EE" w:rsidRPr="00C11A24">
          <w:rPr>
            <w:rFonts w:cs="Times New Roman"/>
          </w:rPr>
          <w:t>.</w:t>
        </w:r>
      </w:hyperlink>
    </w:p>
    <w:p w:rsidR="00ED76EE" w:rsidRPr="00C11A24" w:rsidRDefault="00ED76EE" w:rsidP="00707E6C">
      <w:pPr>
        <w:spacing w:line="360" w:lineRule="auto"/>
        <w:ind w:firstLine="709"/>
        <w:jc w:val="both"/>
        <w:rPr>
          <w:rFonts w:cs="Times New Roman"/>
        </w:rPr>
      </w:pPr>
      <w:r w:rsidRPr="00C11A24">
        <w:rPr>
          <w:rFonts w:cs="Times New Roman"/>
        </w:rPr>
        <w:t xml:space="preserve">Dla recenzenta niniejszej rozprawy doktorskiej zarysowane wyżej pytania relacje </w:t>
      </w:r>
      <w:r w:rsidR="00FD22B9" w:rsidRPr="00C11A24">
        <w:rPr>
          <w:rFonts w:cs="Times New Roman"/>
        </w:rPr>
        <w:t>kolekcj</w:t>
      </w:r>
      <w:r w:rsidRPr="00C11A24">
        <w:rPr>
          <w:rFonts w:cs="Times New Roman"/>
        </w:rPr>
        <w:t>i</w:t>
      </w:r>
      <w:r w:rsidR="00FD22B9" w:rsidRPr="00C11A24">
        <w:rPr>
          <w:rFonts w:cs="Times New Roman"/>
        </w:rPr>
        <w:t xml:space="preserve"> muzealn</w:t>
      </w:r>
      <w:r w:rsidRPr="00C11A24">
        <w:rPr>
          <w:rFonts w:cs="Times New Roman"/>
        </w:rPr>
        <w:t>ych do</w:t>
      </w:r>
      <w:r w:rsidR="00FD22B9" w:rsidRPr="00C11A24">
        <w:rPr>
          <w:rFonts w:cs="Times New Roman"/>
        </w:rPr>
        <w:t xml:space="preserve"> w rzeczywistości obiektywn</w:t>
      </w:r>
      <w:r w:rsidRPr="00C11A24">
        <w:rPr>
          <w:rFonts w:cs="Times New Roman"/>
        </w:rPr>
        <w:t>ej</w:t>
      </w:r>
      <w:r w:rsidR="00FD22B9" w:rsidRPr="00C11A24">
        <w:rPr>
          <w:rFonts w:cs="Times New Roman"/>
        </w:rPr>
        <w:t xml:space="preserve"> i kompletn</w:t>
      </w:r>
      <w:r w:rsidRPr="00C11A24">
        <w:rPr>
          <w:rFonts w:cs="Times New Roman"/>
        </w:rPr>
        <w:t>ej, związanej</w:t>
      </w:r>
      <w:r w:rsidR="00FD22B9" w:rsidRPr="00C11A24">
        <w:rPr>
          <w:rFonts w:cs="Times New Roman"/>
        </w:rPr>
        <w:t xml:space="preserve"> </w:t>
      </w:r>
      <w:r w:rsidRPr="00C11A24">
        <w:rPr>
          <w:rFonts w:cs="Times New Roman"/>
        </w:rPr>
        <w:t>z</w:t>
      </w:r>
      <w:r w:rsidR="00FD22B9" w:rsidRPr="00C11A24">
        <w:rPr>
          <w:rFonts w:cs="Times New Roman"/>
        </w:rPr>
        <w:t xml:space="preserve"> konkretn</w:t>
      </w:r>
      <w:r w:rsidRPr="00C11A24">
        <w:rPr>
          <w:rFonts w:cs="Times New Roman"/>
        </w:rPr>
        <w:t>ym</w:t>
      </w:r>
      <w:r w:rsidR="00FD22B9" w:rsidRPr="00C11A24">
        <w:rPr>
          <w:rFonts w:cs="Times New Roman"/>
        </w:rPr>
        <w:t xml:space="preserve"> dziedzictw</w:t>
      </w:r>
      <w:r w:rsidRPr="00C11A24">
        <w:rPr>
          <w:rFonts w:cs="Times New Roman"/>
        </w:rPr>
        <w:t>em kulturowym</w:t>
      </w:r>
      <w:r w:rsidR="00FD22B9" w:rsidRPr="00C11A24">
        <w:rPr>
          <w:rFonts w:cs="Times New Roman"/>
        </w:rPr>
        <w:t xml:space="preserve">, </w:t>
      </w:r>
      <w:r w:rsidRPr="00C11A24">
        <w:rPr>
          <w:rFonts w:cs="Times New Roman"/>
        </w:rPr>
        <w:t>usytuowanym w miejscu i czasie, s</w:t>
      </w:r>
      <w:r w:rsidR="00FD22B9" w:rsidRPr="00C11A24">
        <w:rPr>
          <w:rFonts w:cs="Times New Roman"/>
        </w:rPr>
        <w:t xml:space="preserve">ą </w:t>
      </w:r>
      <w:r w:rsidRPr="00C11A24">
        <w:rPr>
          <w:rFonts w:cs="Times New Roman"/>
        </w:rPr>
        <w:t xml:space="preserve">o wiele ciekawsze. Stąd też pojawia się pierwsze pytanie do doktoranta, na ile poszczególne wystawy są </w:t>
      </w:r>
      <w:r w:rsidR="00FD22B9" w:rsidRPr="00C11A24">
        <w:rPr>
          <w:rFonts w:cs="Times New Roman"/>
        </w:rPr>
        <w:t xml:space="preserve">fragmentem przeszłej </w:t>
      </w:r>
      <w:r w:rsidRPr="00C11A24">
        <w:rPr>
          <w:rFonts w:cs="Times New Roman"/>
        </w:rPr>
        <w:t xml:space="preserve">czy też teraźniejszej kultury z danego miejsca, a na ile </w:t>
      </w:r>
      <w:r w:rsidR="00FD22B9" w:rsidRPr="00C11A24">
        <w:rPr>
          <w:rFonts w:cs="Times New Roman"/>
        </w:rPr>
        <w:t>subiektywn</w:t>
      </w:r>
      <w:r w:rsidRPr="00C11A24">
        <w:rPr>
          <w:rFonts w:cs="Times New Roman"/>
        </w:rPr>
        <w:t>ym spojrzeniem</w:t>
      </w:r>
      <w:r w:rsidR="00FD22B9" w:rsidRPr="00C11A24">
        <w:rPr>
          <w:rFonts w:cs="Times New Roman"/>
        </w:rPr>
        <w:t xml:space="preserve"> </w:t>
      </w:r>
      <w:r w:rsidRPr="00C11A24">
        <w:rPr>
          <w:rFonts w:cs="Times New Roman"/>
        </w:rPr>
        <w:t>twórców wystawy</w:t>
      </w:r>
      <w:r w:rsidR="00FD22B9" w:rsidRPr="00C11A24">
        <w:rPr>
          <w:rFonts w:cs="Times New Roman"/>
        </w:rPr>
        <w:t xml:space="preserve">, </w:t>
      </w:r>
      <w:r w:rsidRPr="00C11A24">
        <w:rPr>
          <w:rFonts w:cs="Times New Roman"/>
        </w:rPr>
        <w:t xml:space="preserve">którzy ujrzeli nagle „iluzję”, „fatamorganę”, że też odwołam się tutaj do obrazu doktoranta, który w Zimbabwe na tle wirującego obłoku dostrzegłem samochód unoszący się nad ziemią? (s. 8). </w:t>
      </w:r>
    </w:p>
    <w:p w:rsidR="00F24669" w:rsidRPr="00C11A24" w:rsidRDefault="00F73A7F" w:rsidP="00707E6C">
      <w:pPr>
        <w:spacing w:line="360" w:lineRule="auto"/>
        <w:ind w:firstLine="709"/>
        <w:jc w:val="both"/>
        <w:rPr>
          <w:rFonts w:cs="Times New Roman"/>
          <w:szCs w:val="24"/>
        </w:rPr>
      </w:pPr>
      <w:r w:rsidRPr="00C11A24">
        <w:rPr>
          <w:rFonts w:cs="Times New Roman"/>
        </w:rPr>
        <w:t>W toczonych dyskusjach wydaje się, że współcześnie, z tworzeniem wystawy związana jest nie tylko wiedza, dostępność artefaktów, przestrzeni, możliwości technicznych i finansowych, ale także koncepcja a</w:t>
      </w:r>
      <w:r w:rsidR="00F24669" w:rsidRPr="00C11A24">
        <w:rPr>
          <w:rFonts w:cs="Times New Roman"/>
          <w:szCs w:val="24"/>
        </w:rPr>
        <w:t>rtyst</w:t>
      </w:r>
      <w:r w:rsidRPr="00C11A24">
        <w:rPr>
          <w:rFonts w:cs="Times New Roman"/>
          <w:szCs w:val="24"/>
        </w:rPr>
        <w:t>y</w:t>
      </w:r>
      <w:r w:rsidR="00F24669" w:rsidRPr="00C11A24">
        <w:rPr>
          <w:rFonts w:cs="Times New Roman"/>
          <w:szCs w:val="24"/>
        </w:rPr>
        <w:t>-wystawiennik</w:t>
      </w:r>
      <w:r w:rsidRPr="00C11A24">
        <w:rPr>
          <w:rFonts w:cs="Times New Roman"/>
          <w:szCs w:val="24"/>
        </w:rPr>
        <w:t>a,</w:t>
      </w:r>
      <w:r w:rsidR="00F24669" w:rsidRPr="00C11A24">
        <w:rPr>
          <w:rFonts w:cs="Times New Roman"/>
          <w:szCs w:val="24"/>
        </w:rPr>
        <w:t xml:space="preserve"> paradoksalnie bliski</w:t>
      </w:r>
      <w:r w:rsidRPr="00C11A24">
        <w:rPr>
          <w:rFonts w:cs="Times New Roman"/>
          <w:szCs w:val="24"/>
        </w:rPr>
        <w:t>ego</w:t>
      </w:r>
      <w:r w:rsidR="00F24669" w:rsidRPr="00C11A24">
        <w:rPr>
          <w:rFonts w:cs="Times New Roman"/>
          <w:szCs w:val="24"/>
        </w:rPr>
        <w:t xml:space="preserve"> </w:t>
      </w:r>
      <w:r w:rsidRPr="00C11A24">
        <w:rPr>
          <w:rFonts w:cs="Times New Roman"/>
          <w:szCs w:val="24"/>
        </w:rPr>
        <w:t>funkcji</w:t>
      </w:r>
      <w:r w:rsidR="00F24669" w:rsidRPr="00C11A24">
        <w:rPr>
          <w:rFonts w:cs="Times New Roman"/>
          <w:szCs w:val="24"/>
        </w:rPr>
        <w:t xml:space="preserve"> reżysera</w:t>
      </w:r>
      <w:r w:rsidRPr="00C11A24">
        <w:rPr>
          <w:rFonts w:cs="Times New Roman"/>
          <w:szCs w:val="24"/>
        </w:rPr>
        <w:t xml:space="preserve"> w teatrze. O</w:t>
      </w:r>
      <w:r w:rsidR="00F24669" w:rsidRPr="00C11A24">
        <w:rPr>
          <w:rFonts w:cs="Times New Roman"/>
          <w:szCs w:val="24"/>
        </w:rPr>
        <w:t xml:space="preserve"> </w:t>
      </w:r>
      <w:r w:rsidRPr="00C11A24">
        <w:rPr>
          <w:rFonts w:cs="Times New Roman"/>
          <w:szCs w:val="24"/>
        </w:rPr>
        <w:t>tym ostatnim</w:t>
      </w:r>
      <w:r w:rsidR="00F24669" w:rsidRPr="00C11A24">
        <w:rPr>
          <w:rFonts w:cs="Times New Roman"/>
          <w:szCs w:val="24"/>
        </w:rPr>
        <w:t xml:space="preserve"> wiele mówią wizjonerskie spostrzeżenia Edwarda Gordona Craiga, zawarte w </w:t>
      </w:r>
      <w:r w:rsidR="00F24669" w:rsidRPr="00C11A24">
        <w:rPr>
          <w:rFonts w:cs="Times New Roman"/>
          <w:i/>
          <w:szCs w:val="24"/>
        </w:rPr>
        <w:t>Sztuce teatru -– dialogu pierwszym</w:t>
      </w:r>
      <w:r w:rsidR="00F24669" w:rsidRPr="00C11A24">
        <w:rPr>
          <w:rFonts w:cs="Times New Roman"/>
          <w:szCs w:val="24"/>
        </w:rPr>
        <w:t xml:space="preserve">. Sama zaś wystawa w nowoczesnym ujęciu może przypominać sztukę teatralną, która „nie polega na aktorstwie, ani na przedstawianych dziełach, ani na scenerii i tańcu lecz składa się ze wszystkich elementów, które tamte pojęcia zawierają” (Craig 1964: 94.). Kończąc zaś </w:t>
      </w:r>
      <w:r w:rsidR="00F24669" w:rsidRPr="00C11A24">
        <w:rPr>
          <w:rFonts w:cs="Times New Roman"/>
          <w:i/>
          <w:szCs w:val="24"/>
        </w:rPr>
        <w:t>Dialog pierwszy</w:t>
      </w:r>
      <w:r w:rsidR="00F24669" w:rsidRPr="00C11A24">
        <w:rPr>
          <w:rFonts w:cs="Times New Roman"/>
          <w:szCs w:val="24"/>
        </w:rPr>
        <w:t xml:space="preserve">, E.G. Craig przedstawił materiał, z którego jego zdaniem artysta przyszłości stworzy swoje arcydzieło. Są </w:t>
      </w:r>
      <w:r w:rsidR="00F24669" w:rsidRPr="00C11A24">
        <w:rPr>
          <w:rFonts w:cs="Times New Roman"/>
          <w:szCs w:val="24"/>
        </w:rPr>
        <w:lastRenderedPageBreak/>
        <w:t xml:space="preserve">nim: akcja, scena i głos: „Mówiąc ‘akcja’, mam na myśli zarówno gest, jak i taniec, czyli prozę i poezję ruchu. Mówiąc ‘scena’, mam na myśli wszystko, co się przedstawia oczom, czyli światła i kostiumy, zarówno jak dekoracje. Mówiąc ‘głos’, mam na myśli słowo mówione i śpiewane w przeciwieństwie do czytanego, bo słowo przeznaczone do czytania to coś zupełnie innego niż słowo przeznaczone do wygłoszenia” (Craig 1964: 122-123). </w:t>
      </w:r>
    </w:p>
    <w:p w:rsidR="00F73A7F" w:rsidRPr="00C11A24" w:rsidRDefault="00F73A7F" w:rsidP="00707E6C">
      <w:pPr>
        <w:spacing w:line="360" w:lineRule="auto"/>
        <w:ind w:firstLine="709"/>
        <w:jc w:val="both"/>
        <w:rPr>
          <w:rFonts w:cs="Times New Roman"/>
        </w:rPr>
      </w:pPr>
      <w:r w:rsidRPr="00C11A24">
        <w:rPr>
          <w:rFonts w:cs="Times New Roman"/>
        </w:rPr>
        <w:t xml:space="preserve">Drugie pytanie dotyczy właśnie autora konkretnej wystawy. Czy jest nim autor zbiorowy, czy też konkretny scenarzysta, reżyser, wykonawca, dyrektor muzeum? </w:t>
      </w:r>
    </w:p>
    <w:p w:rsidR="001C69C3" w:rsidRPr="00C11A24" w:rsidRDefault="00F24669" w:rsidP="00707E6C">
      <w:pPr>
        <w:spacing w:line="360" w:lineRule="auto"/>
        <w:ind w:firstLine="709"/>
        <w:jc w:val="both"/>
        <w:rPr>
          <w:rFonts w:cs="Times New Roman"/>
        </w:rPr>
      </w:pPr>
      <w:r w:rsidRPr="00C11A24">
        <w:rPr>
          <w:rFonts w:cs="Times New Roman"/>
          <w:szCs w:val="24"/>
        </w:rPr>
        <w:t xml:space="preserve">W preambule </w:t>
      </w:r>
      <w:r w:rsidR="00F73A7F" w:rsidRPr="00C11A24">
        <w:rPr>
          <w:rFonts w:cs="Times New Roman"/>
          <w:szCs w:val="24"/>
        </w:rPr>
        <w:t xml:space="preserve">oraz w powyższej, nieco może przydługiej refleksji, </w:t>
      </w:r>
      <w:r w:rsidRPr="00C11A24">
        <w:rPr>
          <w:rFonts w:cs="Times New Roman"/>
          <w:szCs w:val="24"/>
        </w:rPr>
        <w:t xml:space="preserve">autor recenzji chce podkreślić, iż </w:t>
      </w:r>
      <w:r w:rsidRPr="00C11A24">
        <w:rPr>
          <w:rFonts w:cs="Times New Roman"/>
          <w:color w:val="000000"/>
        </w:rPr>
        <w:t xml:space="preserve">przedstawiona mu do </w:t>
      </w:r>
      <w:r w:rsidR="00F73A7F" w:rsidRPr="00C11A24">
        <w:rPr>
          <w:rFonts w:cs="Times New Roman"/>
          <w:color w:val="000000"/>
        </w:rPr>
        <w:t>oceny</w:t>
      </w:r>
      <w:r w:rsidRPr="00C11A24">
        <w:rPr>
          <w:rFonts w:cs="Times New Roman"/>
          <w:color w:val="000000"/>
        </w:rPr>
        <w:t xml:space="preserve"> dysertacja sytuuje się w granicach nauk humanistycznych, zwłaszcza nauk o kulturze i religii oraz nauk o sztuce, ale także w dziedzinie sztuki. Mamy w niej zatem interdyscyplinarną perspektywę badawczą, która wiąże się z przekonaniem, iż wszelkie przyporządkowania czy wyznaczanie granic dyscyplinom naukowym w obecnych czasach nie mają istotnego znaczenia, za sprawą konwergencji nauk oraz coraz bardziej powszechnej interdyscyplinarności. Na dodatek jeszcze praca doktorska magistra Dariusza Skonieczko pt. „Wykorzystanie technologii hologramu 3D oraz </w:t>
      </w:r>
      <w:proofErr w:type="spellStart"/>
      <w:r w:rsidRPr="00C11A24">
        <w:rPr>
          <w:rFonts w:cs="Times New Roman"/>
          <w:color w:val="000000"/>
        </w:rPr>
        <w:t>Pepper’s</w:t>
      </w:r>
      <w:proofErr w:type="spellEnd"/>
      <w:r w:rsidRPr="00C11A24">
        <w:rPr>
          <w:rFonts w:cs="Times New Roman"/>
          <w:color w:val="000000"/>
        </w:rPr>
        <w:t xml:space="preserve"> Ghost w przestrzeniach wystawowych muzeum jako środek interaktywnej komunikacji z widzem. Sposoby i ocena implementacji”, ma charakter wdrożeniowy. To wszystko znacznie utrudnia pracę recenzenta i wydanie jednoznacznej opinii o walorach tejże dysertacji.</w:t>
      </w:r>
      <w:r w:rsidR="00F73A7F" w:rsidRPr="00C11A24">
        <w:rPr>
          <w:rFonts w:cs="Times New Roman"/>
          <w:color w:val="000000"/>
        </w:rPr>
        <w:t xml:space="preserve"> Przy tym na marginesie niejako autor recenzji chciałby przypomnieć rzecz oczywistą, że </w:t>
      </w:r>
      <w:r w:rsidR="001C69C3" w:rsidRPr="00C11A24">
        <w:rPr>
          <w:rFonts w:cs="Times New Roman"/>
        </w:rPr>
        <w:t xml:space="preserve">przy ocenie rozprawy doktorskiej nie wystawia się ocen szczegółowych, jak przy egzaminach czy kolokwiach. W mojej, bardzo starej tradycji, było wystawianie ocen w skali od 2 (negatywna) do 5 (bardzo pozytywna), uwzględniające jeszcze tzw. „trzy na szynach” (bardzo słaba ocena 3). </w:t>
      </w:r>
    </w:p>
    <w:p w:rsidR="007D0B48" w:rsidRPr="00C11A24" w:rsidRDefault="007D0B48" w:rsidP="00707E6C">
      <w:pPr>
        <w:spacing w:line="360" w:lineRule="auto"/>
        <w:ind w:firstLine="709"/>
        <w:jc w:val="both"/>
        <w:rPr>
          <w:rFonts w:cs="Times New Roman"/>
        </w:rPr>
      </w:pPr>
    </w:p>
    <w:p w:rsidR="00834ECF" w:rsidRPr="00C11A24" w:rsidRDefault="00834ECF" w:rsidP="00707E6C">
      <w:pPr>
        <w:spacing w:line="360" w:lineRule="auto"/>
        <w:ind w:firstLine="709"/>
        <w:jc w:val="both"/>
        <w:rPr>
          <w:rFonts w:cs="Times New Roman"/>
          <w:b/>
          <w:bCs/>
        </w:rPr>
      </w:pPr>
      <w:r w:rsidRPr="00C11A24">
        <w:rPr>
          <w:rFonts w:cs="Times New Roman"/>
          <w:b/>
          <w:bCs/>
        </w:rPr>
        <w:t>4. Ocena formalna rozprawy</w:t>
      </w:r>
    </w:p>
    <w:p w:rsidR="00C11A24" w:rsidRPr="00C11A24" w:rsidRDefault="00834ECF" w:rsidP="00707E6C">
      <w:pPr>
        <w:spacing w:line="360" w:lineRule="auto"/>
        <w:ind w:firstLine="709"/>
        <w:jc w:val="both"/>
        <w:rPr>
          <w:rFonts w:cs="Times New Roman"/>
        </w:rPr>
      </w:pPr>
      <w:r w:rsidRPr="00C11A24">
        <w:rPr>
          <w:rFonts w:cs="Times New Roman"/>
        </w:rPr>
        <w:t xml:space="preserve">Od strony formalnej, pod względem języka, aparatu naukowego, przypisów, bibliografii, w rozprawie </w:t>
      </w:r>
      <w:r w:rsidRPr="00C11A24">
        <w:rPr>
          <w:rStyle w:val="FontStyle81"/>
        </w:rPr>
        <w:t xml:space="preserve">mgra </w:t>
      </w:r>
      <w:r w:rsidRPr="00C11A24">
        <w:rPr>
          <w:rFonts w:cs="Times New Roman"/>
        </w:rPr>
        <w:t xml:space="preserve">Dariusza </w:t>
      </w:r>
      <w:proofErr w:type="spellStart"/>
      <w:r w:rsidRPr="00C11A24">
        <w:rPr>
          <w:rFonts w:cs="Times New Roman"/>
        </w:rPr>
        <w:t>Skoniczko</w:t>
      </w:r>
      <w:proofErr w:type="spellEnd"/>
      <w:r w:rsidRPr="00C11A24">
        <w:rPr>
          <w:rFonts w:cs="Times New Roman"/>
        </w:rPr>
        <w:t xml:space="preserve"> nie znajdujemy niczego rażącego, co by szczególnie zasługiwało na krytykę recenzenta pracy doktorskiej. Język i tok myśli są zasadniczo poprawne. Naturalnie recenzent powinien jednak wyszukać i słabe strony pracy, także od strony formalnej. A taką jest z pewnością brak dostatecznie dobrej korekty polonistycznej. Zdarzają się w pracy i literówki</w:t>
      </w:r>
      <w:r w:rsidR="003A4221" w:rsidRPr="00C11A24">
        <w:rPr>
          <w:rFonts w:cs="Times New Roman"/>
        </w:rPr>
        <w:t xml:space="preserve"> (zwłaszcza brak znaków diakrytycznych przy samogłoskach)</w:t>
      </w:r>
      <w:r w:rsidRPr="00C11A24">
        <w:rPr>
          <w:rFonts w:cs="Times New Roman"/>
        </w:rPr>
        <w:t xml:space="preserve">, i niezręczności gramatyczne, które jednak w całości nie </w:t>
      </w:r>
      <w:r w:rsidR="003A4221" w:rsidRPr="00C11A24">
        <w:rPr>
          <w:rFonts w:cs="Times New Roman"/>
        </w:rPr>
        <w:t>dyskwalifikują</w:t>
      </w:r>
      <w:r w:rsidRPr="00C11A24">
        <w:rPr>
          <w:rFonts w:cs="Times New Roman"/>
        </w:rPr>
        <w:t xml:space="preserve"> pracy. </w:t>
      </w:r>
      <w:r w:rsidRPr="00C11A24">
        <w:rPr>
          <w:rFonts w:cs="Times New Roman"/>
        </w:rPr>
        <w:lastRenderedPageBreak/>
        <w:t>Przykłady takich niezręczności, gdzie czytelnik musi dłużej zastanowić się nad sensem zdania, mamy np. na stronie</w:t>
      </w:r>
      <w:r w:rsidR="003A4221" w:rsidRPr="00C11A24">
        <w:rPr>
          <w:rFonts w:cs="Times New Roman"/>
        </w:rPr>
        <w:t xml:space="preserve"> 65: „Lata 80 – zaczęły być używane w celach komercyjnych oraz jako forma sztuki”. Na dodatek brak jest po </w:t>
      </w:r>
      <w:r w:rsidR="00973C79" w:rsidRPr="00C11A24">
        <w:rPr>
          <w:rFonts w:cs="Times New Roman"/>
        </w:rPr>
        <w:t xml:space="preserve">liczebniku kropki, gdyż </w:t>
      </w:r>
      <w:r w:rsidR="003A4221" w:rsidRPr="00C11A24">
        <w:rPr>
          <w:rFonts w:cs="Times New Roman"/>
        </w:rPr>
        <w:t xml:space="preserve">poprawna pisownia w języku polskim „lata </w:t>
      </w:r>
      <w:r w:rsidR="00973C79" w:rsidRPr="00C11A24">
        <w:rPr>
          <w:rFonts w:cs="Times New Roman"/>
        </w:rPr>
        <w:t>8</w:t>
      </w:r>
      <w:r w:rsidR="003A4221" w:rsidRPr="00C11A24">
        <w:rPr>
          <w:rFonts w:cs="Times New Roman"/>
        </w:rPr>
        <w:t xml:space="preserve">0.” (z kropką na końcu). Wynika to z tego, że liczebniki porządkowe, jeśli wyrażone są cyframi arabskimi, oznaczamy w języku polskim poprzez dodanie kropki. </w:t>
      </w:r>
      <w:r w:rsidR="00C11A24" w:rsidRPr="00C11A24">
        <w:rPr>
          <w:rFonts w:cs="Times New Roman"/>
        </w:rPr>
        <w:t xml:space="preserve">Przykładem niektórych niezręczności językowych jest także zdanie: „Anna Styczyńska-Nadolska porusza również problem doboru eksponatów. Bardzo słusznie bowiem wystawa powinna być przemyślana i mieć jakąś </w:t>
      </w:r>
      <w:r w:rsidR="00C11A24" w:rsidRPr="00C11A24">
        <w:rPr>
          <w:rFonts w:cs="Times New Roman"/>
          <w:u w:val="single"/>
        </w:rPr>
        <w:t>oś przewodnią</w:t>
      </w:r>
      <w:r w:rsidR="00C11A24" w:rsidRPr="00C11A24">
        <w:rPr>
          <w:rFonts w:cs="Times New Roman"/>
        </w:rPr>
        <w:t>” (s. 81). Raczej powinno być „myśl przewodnią”.</w:t>
      </w:r>
    </w:p>
    <w:p w:rsidR="00C11A24" w:rsidRPr="00C11A24" w:rsidRDefault="00C11A24" w:rsidP="00707E6C">
      <w:pPr>
        <w:spacing w:line="360" w:lineRule="auto"/>
        <w:ind w:firstLine="709"/>
        <w:jc w:val="both"/>
        <w:rPr>
          <w:rFonts w:cs="Times New Roman"/>
        </w:rPr>
      </w:pPr>
      <w:r w:rsidRPr="00C11A24">
        <w:rPr>
          <w:rFonts w:cs="Times New Roman"/>
          <w:bCs/>
        </w:rPr>
        <w:t xml:space="preserve">Kilkakrotnie Autor myli okolicznik miejsca z okolicznikiem czasu, np. na s. 73 (Powstanie instytucji miało miejsce w 1888 r.), czy też na s. 76 (Na szczególną uwagę na nowym etapie zasługuje jubileusz 100-lecia placówki, który miał miejsce w 1988 r.). </w:t>
      </w:r>
      <w:r w:rsidRPr="00C11A24">
        <w:rPr>
          <w:rFonts w:cs="Times New Roman"/>
        </w:rPr>
        <w:t xml:space="preserve">Okolicznik </w:t>
      </w:r>
      <w:r w:rsidRPr="00C11A24">
        <w:rPr>
          <w:rFonts w:cs="Times New Roman"/>
          <w:bCs/>
        </w:rPr>
        <w:t>„mieć miejsce” odnoszony do czasu jest</w:t>
      </w:r>
      <w:r w:rsidRPr="00C11A24">
        <w:rPr>
          <w:rFonts w:cs="Times New Roman"/>
          <w:b/>
        </w:rPr>
        <w:t xml:space="preserve"> </w:t>
      </w:r>
      <w:r w:rsidRPr="00C11A24">
        <w:rPr>
          <w:rFonts w:cs="Times New Roman"/>
        </w:rPr>
        <w:t>niezwykle powszechny w języku potocznym, jednak nie jest akceptowany jako poprawny przez polskich językoznawców. O</w:t>
      </w:r>
      <w:r w:rsidRPr="00C11A24">
        <w:rPr>
          <w:rFonts w:cs="Times New Roman"/>
          <w:bCs/>
          <w:iCs/>
        </w:rPr>
        <w:t xml:space="preserve">kolicznik </w:t>
      </w:r>
      <w:r w:rsidRPr="00C11A24">
        <w:rPr>
          <w:rFonts w:cs="Times New Roman"/>
          <w:bCs/>
          <w:i/>
        </w:rPr>
        <w:t>miejsca</w:t>
      </w:r>
      <w:r w:rsidRPr="00C11A24">
        <w:rPr>
          <w:rFonts w:cs="Times New Roman"/>
        </w:rPr>
        <w:t xml:space="preserve"> – wskazuje na miejsce dziania się czynności (</w:t>
      </w:r>
      <w:r w:rsidRPr="00C11A24">
        <w:rPr>
          <w:rFonts w:cs="Times New Roman"/>
          <w:i/>
          <w:iCs/>
        </w:rPr>
        <w:t>gdzie?</w:t>
      </w:r>
      <w:r w:rsidRPr="00C11A24">
        <w:rPr>
          <w:rFonts w:cs="Times New Roman"/>
        </w:rPr>
        <w:t>), a także kierunek działania (</w:t>
      </w:r>
      <w:r w:rsidRPr="00C11A24">
        <w:rPr>
          <w:rFonts w:cs="Times New Roman"/>
          <w:i/>
          <w:iCs/>
        </w:rPr>
        <w:t>skąd?</w:t>
      </w:r>
      <w:r w:rsidRPr="00C11A24">
        <w:rPr>
          <w:rFonts w:cs="Times New Roman"/>
        </w:rPr>
        <w:t xml:space="preserve"> </w:t>
      </w:r>
      <w:r w:rsidRPr="00C11A24">
        <w:rPr>
          <w:rFonts w:cs="Times New Roman"/>
          <w:i/>
          <w:iCs/>
        </w:rPr>
        <w:t>dokąd?</w:t>
      </w:r>
      <w:r w:rsidRPr="00C11A24">
        <w:rPr>
          <w:rFonts w:cs="Times New Roman"/>
        </w:rPr>
        <w:t xml:space="preserve"> </w:t>
      </w:r>
      <w:r w:rsidRPr="00C11A24">
        <w:rPr>
          <w:rFonts w:cs="Times New Roman"/>
          <w:i/>
          <w:iCs/>
        </w:rPr>
        <w:t>którędy?</w:t>
      </w:r>
      <w:r w:rsidRPr="00C11A24">
        <w:rPr>
          <w:rFonts w:cs="Times New Roman"/>
        </w:rPr>
        <w:t>)</w:t>
      </w:r>
      <w:r w:rsidRPr="00C11A24">
        <w:rPr>
          <w:rFonts w:cs="Times New Roman"/>
          <w:bCs/>
          <w:i/>
        </w:rPr>
        <w:t xml:space="preserve">. </w:t>
      </w:r>
      <w:r w:rsidRPr="00C11A24">
        <w:rPr>
          <w:rFonts w:cs="Times New Roman"/>
          <w:bCs/>
          <w:iCs/>
        </w:rPr>
        <w:t>Okolicznik czasu</w:t>
      </w:r>
      <w:r w:rsidRPr="00C11A24">
        <w:rPr>
          <w:rFonts w:cs="Times New Roman"/>
        </w:rPr>
        <w:t xml:space="preserve"> natomiast to część zdania odpowiadająca na pytania: </w:t>
      </w:r>
      <w:r w:rsidRPr="00C11A24">
        <w:rPr>
          <w:rFonts w:cs="Times New Roman"/>
          <w:i/>
          <w:iCs/>
        </w:rPr>
        <w:t xml:space="preserve">kiedy? od kiedy? do kiedy? </w:t>
      </w:r>
    </w:p>
    <w:p w:rsidR="00973C79" w:rsidRPr="00C11A24" w:rsidRDefault="003A4221" w:rsidP="00707E6C">
      <w:pPr>
        <w:spacing w:line="360" w:lineRule="auto"/>
        <w:ind w:firstLine="709"/>
        <w:jc w:val="both"/>
        <w:rPr>
          <w:rFonts w:cs="Times New Roman"/>
        </w:rPr>
      </w:pPr>
      <w:r w:rsidRPr="00C11A24">
        <w:rPr>
          <w:rFonts w:cs="Times New Roman"/>
        </w:rPr>
        <w:t xml:space="preserve">Pewną niezręczność wykazuje też Autor dysertacji w przestrzeganiu zasad komputerowego wykonania, co widać w odstępach itp. Czasami można tez mieć zastrzeżenia do poprawności sporządzanych przypisów, zwłaszcza przy cytowaniu tekstów z Internetu. </w:t>
      </w:r>
      <w:r w:rsidR="00973C79" w:rsidRPr="00C11A24">
        <w:rPr>
          <w:rFonts w:cs="Times New Roman"/>
        </w:rPr>
        <w:t xml:space="preserve">Strony internetowe są tylko nośnikiem analizowanych treści, a zatem pozostaje w mocy klasyczny zapis tekstu według schematu: </w:t>
      </w:r>
      <w:r w:rsidR="00973C79" w:rsidRPr="00C11A24">
        <w:rPr>
          <w:rFonts w:cs="Times New Roman"/>
          <w:i/>
        </w:rPr>
        <w:t>autor, tytuł</w:t>
      </w:r>
      <w:r w:rsidR="00973C79" w:rsidRPr="00C11A24">
        <w:rPr>
          <w:rFonts w:cs="Times New Roman"/>
        </w:rPr>
        <w:t xml:space="preserve">, </w:t>
      </w:r>
      <w:r w:rsidR="00973C79" w:rsidRPr="00C11A24">
        <w:rPr>
          <w:rFonts w:cs="Times New Roman"/>
          <w:i/>
        </w:rPr>
        <w:t>incipit</w:t>
      </w:r>
      <w:r w:rsidR="00973C79" w:rsidRPr="00C11A24">
        <w:rPr>
          <w:rFonts w:cs="Times New Roman"/>
        </w:rPr>
        <w:t xml:space="preserve">. Ta ostatnia uwaga dotyczy także niektórych </w:t>
      </w:r>
      <w:r w:rsidR="00C11A24" w:rsidRPr="00C11A24">
        <w:rPr>
          <w:rFonts w:cs="Times New Roman"/>
        </w:rPr>
        <w:t>zapisów</w:t>
      </w:r>
      <w:r w:rsidR="00973C79" w:rsidRPr="00C11A24">
        <w:rPr>
          <w:rFonts w:cs="Times New Roman"/>
        </w:rPr>
        <w:t xml:space="preserve"> bibliograficznych.</w:t>
      </w:r>
    </w:p>
    <w:p w:rsidR="00C11A24" w:rsidRPr="00C11A24" w:rsidRDefault="00973C79" w:rsidP="00707E6C">
      <w:pPr>
        <w:spacing w:line="360" w:lineRule="auto"/>
        <w:ind w:firstLine="709"/>
        <w:jc w:val="both"/>
        <w:rPr>
          <w:rFonts w:cs="Times New Roman"/>
        </w:rPr>
      </w:pPr>
      <w:r w:rsidRPr="00C11A24">
        <w:rPr>
          <w:rFonts w:cs="Times New Roman"/>
        </w:rPr>
        <w:t>W sporządzonej przez Autora bibliografii znowu zauważyć można, że p</w:t>
      </w:r>
      <w:r w:rsidR="006A14CC" w:rsidRPr="00C11A24">
        <w:rPr>
          <w:rFonts w:cs="Times New Roman"/>
        </w:rPr>
        <w:t xml:space="preserve">odziały nie są mocną stroną </w:t>
      </w:r>
      <w:r w:rsidRPr="00C11A24">
        <w:rPr>
          <w:rFonts w:cs="Times New Roman"/>
        </w:rPr>
        <w:t>warsztatu</w:t>
      </w:r>
      <w:r w:rsidR="006A14CC" w:rsidRPr="00C11A24">
        <w:rPr>
          <w:rFonts w:cs="Times New Roman"/>
        </w:rPr>
        <w:t xml:space="preserve"> Autora</w:t>
      </w:r>
      <w:r w:rsidRPr="00C11A24">
        <w:rPr>
          <w:rFonts w:cs="Times New Roman"/>
        </w:rPr>
        <w:t xml:space="preserve"> dysertacji. W bibliografii wydzielono bowiem m.in. „ź</w:t>
      </w:r>
      <w:r w:rsidR="006A14CC" w:rsidRPr="00C11A24">
        <w:rPr>
          <w:rFonts w:cs="Times New Roman"/>
        </w:rPr>
        <w:t>ródła książkowe</w:t>
      </w:r>
      <w:r w:rsidRPr="00C11A24">
        <w:rPr>
          <w:rFonts w:cs="Times New Roman"/>
        </w:rPr>
        <w:t>”, „o</w:t>
      </w:r>
      <w:r w:rsidR="00A77B85" w:rsidRPr="00C11A24">
        <w:rPr>
          <w:rFonts w:cs="Times New Roman"/>
        </w:rPr>
        <w:t>pracowania</w:t>
      </w:r>
      <w:r w:rsidRPr="00C11A24">
        <w:rPr>
          <w:rFonts w:cs="Times New Roman"/>
        </w:rPr>
        <w:t>” i „</w:t>
      </w:r>
      <w:proofErr w:type="spellStart"/>
      <w:r w:rsidRPr="00C11A24">
        <w:rPr>
          <w:rFonts w:cs="Times New Roman"/>
        </w:rPr>
        <w:t>n</w:t>
      </w:r>
      <w:r w:rsidR="00A77B85" w:rsidRPr="00C11A24">
        <w:rPr>
          <w:rFonts w:cs="Times New Roman"/>
        </w:rPr>
        <w:t>etografi</w:t>
      </w:r>
      <w:r w:rsidRPr="00C11A24">
        <w:rPr>
          <w:rFonts w:cs="Times New Roman"/>
        </w:rPr>
        <w:t>ę</w:t>
      </w:r>
      <w:proofErr w:type="spellEnd"/>
      <w:r w:rsidRPr="00C11A24">
        <w:rPr>
          <w:rFonts w:cs="Times New Roman"/>
        </w:rPr>
        <w:t xml:space="preserve">”. Każdy z tych trzech zbiorów pochodzi z odmiennych podziałów logicznych, stąd też nie </w:t>
      </w:r>
      <w:proofErr w:type="spellStart"/>
      <w:r w:rsidRPr="00C11A24">
        <w:rPr>
          <w:rFonts w:cs="Times New Roman"/>
        </w:rPr>
        <w:t>sa</w:t>
      </w:r>
      <w:proofErr w:type="spellEnd"/>
      <w:r w:rsidRPr="00C11A24">
        <w:rPr>
          <w:rFonts w:cs="Times New Roman"/>
        </w:rPr>
        <w:t xml:space="preserve"> to zbiory rozłączne – a takich wymagałaby dobrze sporządzona bibliografia. Ponadto w bibliografii znajdujemy inna grupę odniesień, której numeracji nie można przypiąć do niczego (</w:t>
      </w:r>
      <w:r w:rsidRPr="00C11A24">
        <w:rPr>
          <w:rFonts w:cs="Times New Roman"/>
          <w:i/>
        </w:rPr>
        <w:t>11.</w:t>
      </w:r>
      <w:r w:rsidR="00A77B85" w:rsidRPr="00C11A24">
        <w:rPr>
          <w:rFonts w:cs="Times New Roman"/>
          <w:i/>
        </w:rPr>
        <w:t>5. Wykaz publikacji, działalność naukowa oraz popularyzująca wiedzę w zakresie upowszec</w:t>
      </w:r>
      <w:r w:rsidRPr="00C11A24">
        <w:rPr>
          <w:rFonts w:cs="Times New Roman"/>
          <w:i/>
        </w:rPr>
        <w:t>hniania wyników pracy badawczej</w:t>
      </w:r>
      <w:r w:rsidRPr="00C11A24">
        <w:rPr>
          <w:rFonts w:cs="Times New Roman"/>
        </w:rPr>
        <w:t>).</w:t>
      </w:r>
      <w:r w:rsidR="00C11A24" w:rsidRPr="00C11A24">
        <w:rPr>
          <w:rFonts w:cs="Times New Roman"/>
        </w:rPr>
        <w:t xml:space="preserve"> W bibliografii brakuje także listy informatorów (np. cytowany wywiad z Lucjanem Buchalikiem).</w:t>
      </w:r>
    </w:p>
    <w:p w:rsidR="00A77B85" w:rsidRPr="00C11A24" w:rsidRDefault="00A77B85" w:rsidP="00707E6C">
      <w:pPr>
        <w:spacing w:line="360" w:lineRule="auto"/>
        <w:ind w:firstLine="709"/>
        <w:jc w:val="both"/>
        <w:rPr>
          <w:rFonts w:cs="Times New Roman"/>
        </w:rPr>
      </w:pPr>
    </w:p>
    <w:p w:rsidR="00C11A24" w:rsidRPr="00C11A24" w:rsidRDefault="00C11A24" w:rsidP="00707E6C">
      <w:pPr>
        <w:spacing w:line="360" w:lineRule="auto"/>
        <w:ind w:firstLine="709"/>
        <w:jc w:val="both"/>
        <w:rPr>
          <w:rFonts w:cs="Times New Roman"/>
          <w:b/>
          <w:bCs/>
        </w:rPr>
      </w:pPr>
      <w:r w:rsidRPr="00C11A24">
        <w:rPr>
          <w:rFonts w:cs="Times New Roman"/>
          <w:b/>
          <w:bCs/>
        </w:rPr>
        <w:lastRenderedPageBreak/>
        <w:t>Wniosek końcowy</w:t>
      </w:r>
    </w:p>
    <w:p w:rsidR="00C11A24" w:rsidRPr="00C11A24" w:rsidRDefault="00C11A24" w:rsidP="00707E6C">
      <w:pPr>
        <w:pStyle w:val="Default"/>
        <w:spacing w:after="120" w:line="360" w:lineRule="auto"/>
        <w:ind w:firstLine="709"/>
        <w:jc w:val="both"/>
      </w:pPr>
      <w:r w:rsidRPr="00C11A24">
        <w:t xml:space="preserve">Mgr Dariusz Skonieczko przedstawił do recenzji rozprawę doktorską, która w całości zasługuje na pozytywną ocenę, zwłaszcza jeśli weźmiemy pod uwagę wartość wdrożeniową prezentowanej dysertacji. Podniesione w recenzji zastrzeżenia, pytania czy wątpliwości mogą być przedmiotem dyskusji. Stwierdzam zatem, że recenzowana rozprawa – chociaż </w:t>
      </w:r>
      <w:r w:rsidR="00707E6C">
        <w:t>z </w:t>
      </w:r>
      <w:r w:rsidRPr="00C11A24">
        <w:t xml:space="preserve">widoczną trudnością – spełnia wymagania stawiane przez </w:t>
      </w:r>
      <w:r w:rsidR="00707E6C">
        <w:rPr>
          <w:i/>
        </w:rPr>
        <w:t>Ustawę o stopniach naukowych i </w:t>
      </w:r>
      <w:r w:rsidRPr="00C11A24">
        <w:rPr>
          <w:i/>
        </w:rPr>
        <w:t>tytule naukowym oraz o stopniach i tytule w zakresie sztuki</w:t>
      </w:r>
      <w:r w:rsidRPr="00C11A24">
        <w:t xml:space="preserve">, dlatego stawiam wniosek do Komisji ds. Stopni Naukowych w dyscyplinach nauki o kulturze i religii oraz nauki o sztuce Uniwersytetu Łódzkiego o kontynuowanie przewodu doktorskiego mgra Dariusza </w:t>
      </w:r>
      <w:proofErr w:type="spellStart"/>
      <w:r w:rsidRPr="00C11A24">
        <w:t>Skoniczko</w:t>
      </w:r>
      <w:proofErr w:type="spellEnd"/>
      <w:r w:rsidRPr="00C11A24">
        <w:t>.</w:t>
      </w:r>
    </w:p>
    <w:p w:rsidR="00022D1C" w:rsidRPr="00C11A24" w:rsidRDefault="00022D1C" w:rsidP="00C11A24">
      <w:pPr>
        <w:spacing w:line="360" w:lineRule="auto"/>
        <w:ind w:firstLine="709"/>
        <w:rPr>
          <w:rFonts w:cs="Times New Roman"/>
        </w:rPr>
      </w:pPr>
    </w:p>
    <w:sectPr w:rsidR="00022D1C" w:rsidRPr="00C11A24" w:rsidSect="00FA14E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C81" w:rsidRDefault="00826C81" w:rsidP="00C11A24">
      <w:pPr>
        <w:spacing w:after="0"/>
      </w:pPr>
      <w:r>
        <w:separator/>
      </w:r>
    </w:p>
  </w:endnote>
  <w:endnote w:type="continuationSeparator" w:id="0">
    <w:p w:rsidR="00826C81" w:rsidRDefault="00826C81" w:rsidP="00C11A2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488782"/>
      <w:docPartObj>
        <w:docPartGallery w:val="Page Numbers (Bottom of Page)"/>
        <w:docPartUnique/>
      </w:docPartObj>
    </w:sdtPr>
    <w:sdtContent>
      <w:p w:rsidR="00C11A24" w:rsidRDefault="00227A7B">
        <w:pPr>
          <w:pStyle w:val="Stopka"/>
          <w:jc w:val="right"/>
        </w:pPr>
        <w:fldSimple w:instr=" PAGE   \* MERGEFORMAT ">
          <w:r w:rsidR="004C15C0">
            <w:rPr>
              <w:noProof/>
            </w:rPr>
            <w:t>1</w:t>
          </w:r>
        </w:fldSimple>
      </w:p>
    </w:sdtContent>
  </w:sdt>
  <w:p w:rsidR="00C11A24" w:rsidRDefault="00C11A2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C81" w:rsidRDefault="00826C81" w:rsidP="00C11A24">
      <w:pPr>
        <w:spacing w:after="0"/>
      </w:pPr>
      <w:r>
        <w:separator/>
      </w:r>
    </w:p>
  </w:footnote>
  <w:footnote w:type="continuationSeparator" w:id="0">
    <w:p w:rsidR="00826C81" w:rsidRDefault="00826C81" w:rsidP="00C11A2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348CF"/>
    <w:multiLevelType w:val="multilevel"/>
    <w:tmpl w:val="C08A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5F3AA5"/>
    <w:multiLevelType w:val="multilevel"/>
    <w:tmpl w:val="0192A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D60DCD"/>
    <w:multiLevelType w:val="multilevel"/>
    <w:tmpl w:val="61B03512"/>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3">
    <w:nsid w:val="2B4C2E19"/>
    <w:multiLevelType w:val="multilevel"/>
    <w:tmpl w:val="4B6E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563BDB"/>
    <w:multiLevelType w:val="multilevel"/>
    <w:tmpl w:val="F608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58741D"/>
    <w:multiLevelType w:val="multilevel"/>
    <w:tmpl w:val="B138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5420C7"/>
    <w:rsid w:val="00022D1C"/>
    <w:rsid w:val="000D2C16"/>
    <w:rsid w:val="000D542E"/>
    <w:rsid w:val="0011225A"/>
    <w:rsid w:val="00117799"/>
    <w:rsid w:val="00137031"/>
    <w:rsid w:val="00170F8B"/>
    <w:rsid w:val="001A2F7B"/>
    <w:rsid w:val="001C69C3"/>
    <w:rsid w:val="00227A7B"/>
    <w:rsid w:val="00284B1D"/>
    <w:rsid w:val="002A5768"/>
    <w:rsid w:val="002B07BD"/>
    <w:rsid w:val="002D2B6F"/>
    <w:rsid w:val="002E7A27"/>
    <w:rsid w:val="00307905"/>
    <w:rsid w:val="00381B66"/>
    <w:rsid w:val="003A4221"/>
    <w:rsid w:val="003F41CA"/>
    <w:rsid w:val="0042128E"/>
    <w:rsid w:val="004915E1"/>
    <w:rsid w:val="004C15C0"/>
    <w:rsid w:val="004D317B"/>
    <w:rsid w:val="00521E4E"/>
    <w:rsid w:val="0052760C"/>
    <w:rsid w:val="005420C7"/>
    <w:rsid w:val="005D558B"/>
    <w:rsid w:val="00627CA9"/>
    <w:rsid w:val="006A14CC"/>
    <w:rsid w:val="006A63A3"/>
    <w:rsid w:val="006A73E8"/>
    <w:rsid w:val="00707E6C"/>
    <w:rsid w:val="00726977"/>
    <w:rsid w:val="00767961"/>
    <w:rsid w:val="00780050"/>
    <w:rsid w:val="007C391B"/>
    <w:rsid w:val="007D0B48"/>
    <w:rsid w:val="00812757"/>
    <w:rsid w:val="00826C81"/>
    <w:rsid w:val="00834ECF"/>
    <w:rsid w:val="008970ED"/>
    <w:rsid w:val="008A3A46"/>
    <w:rsid w:val="008B3E9D"/>
    <w:rsid w:val="00917B56"/>
    <w:rsid w:val="009229F6"/>
    <w:rsid w:val="00973C79"/>
    <w:rsid w:val="00981BE7"/>
    <w:rsid w:val="00985EBB"/>
    <w:rsid w:val="00986A9D"/>
    <w:rsid w:val="009E1F81"/>
    <w:rsid w:val="00A02E1B"/>
    <w:rsid w:val="00A65B3F"/>
    <w:rsid w:val="00A77B85"/>
    <w:rsid w:val="00AB735B"/>
    <w:rsid w:val="00AF0280"/>
    <w:rsid w:val="00B21D6B"/>
    <w:rsid w:val="00B7498C"/>
    <w:rsid w:val="00B76924"/>
    <w:rsid w:val="00BA4D8E"/>
    <w:rsid w:val="00BA77EE"/>
    <w:rsid w:val="00BD5AE5"/>
    <w:rsid w:val="00C11A24"/>
    <w:rsid w:val="00C56B9C"/>
    <w:rsid w:val="00CA34AB"/>
    <w:rsid w:val="00CC3F61"/>
    <w:rsid w:val="00D209B9"/>
    <w:rsid w:val="00DD7DAB"/>
    <w:rsid w:val="00DE1A27"/>
    <w:rsid w:val="00DF0B76"/>
    <w:rsid w:val="00DF1049"/>
    <w:rsid w:val="00E5415F"/>
    <w:rsid w:val="00E61B4B"/>
    <w:rsid w:val="00E66DB3"/>
    <w:rsid w:val="00E9058F"/>
    <w:rsid w:val="00EC5C50"/>
    <w:rsid w:val="00ED5902"/>
    <w:rsid w:val="00ED67A8"/>
    <w:rsid w:val="00ED706B"/>
    <w:rsid w:val="00ED76EE"/>
    <w:rsid w:val="00F24669"/>
    <w:rsid w:val="00F64BF0"/>
    <w:rsid w:val="00F73A7F"/>
    <w:rsid w:val="00F90AD1"/>
    <w:rsid w:val="00FA14E4"/>
    <w:rsid w:val="00FD22B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2757"/>
  </w:style>
  <w:style w:type="paragraph" w:styleId="Nagwek1">
    <w:name w:val="heading 1"/>
    <w:basedOn w:val="Normalny"/>
    <w:next w:val="Normalny"/>
    <w:link w:val="Nagwek1Znak"/>
    <w:qFormat/>
    <w:rsid w:val="00ED67A8"/>
    <w:pPr>
      <w:keepNext/>
      <w:spacing w:before="120" w:after="180"/>
      <w:jc w:val="center"/>
      <w:outlineLvl w:val="0"/>
    </w:pPr>
    <w:rPr>
      <w:rFonts w:eastAsia="Times New Roman" w:cs="Times New Roman"/>
      <w:b/>
      <w:spacing w:val="20"/>
      <w:sz w:val="2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420C7"/>
    <w:pPr>
      <w:spacing w:before="100" w:beforeAutospacing="1" w:after="100" w:afterAutospacing="1"/>
    </w:pPr>
    <w:rPr>
      <w:rFonts w:eastAsia="Times New Roman" w:cs="Times New Roman"/>
      <w:szCs w:val="24"/>
      <w:lang w:eastAsia="pl-PL"/>
    </w:rPr>
  </w:style>
  <w:style w:type="character" w:styleId="Uwydatnienie">
    <w:name w:val="Emphasis"/>
    <w:basedOn w:val="Domylnaczcionkaakapitu"/>
    <w:uiPriority w:val="20"/>
    <w:qFormat/>
    <w:rsid w:val="005420C7"/>
    <w:rPr>
      <w:i/>
      <w:iCs/>
    </w:rPr>
  </w:style>
  <w:style w:type="character" w:styleId="Hipercze">
    <w:name w:val="Hyperlink"/>
    <w:basedOn w:val="Domylnaczcionkaakapitu"/>
    <w:uiPriority w:val="99"/>
    <w:semiHidden/>
    <w:unhideWhenUsed/>
    <w:rsid w:val="00981BE7"/>
    <w:rPr>
      <w:color w:val="0000FF"/>
      <w:u w:val="single"/>
    </w:rPr>
  </w:style>
  <w:style w:type="character" w:customStyle="1" w:styleId="Nagwek1Znak">
    <w:name w:val="Nagłówek 1 Znak"/>
    <w:basedOn w:val="Domylnaczcionkaakapitu"/>
    <w:link w:val="Nagwek1"/>
    <w:rsid w:val="00ED67A8"/>
    <w:rPr>
      <w:rFonts w:eastAsia="Times New Roman" w:cs="Times New Roman"/>
      <w:b/>
      <w:spacing w:val="20"/>
      <w:sz w:val="22"/>
      <w:szCs w:val="20"/>
      <w:lang w:eastAsia="pl-PL"/>
    </w:rPr>
  </w:style>
  <w:style w:type="paragraph" w:customStyle="1" w:styleId="Akapit">
    <w:name w:val="Akapit"/>
    <w:basedOn w:val="Normalny"/>
    <w:autoRedefine/>
    <w:rsid w:val="00ED67A8"/>
    <w:pPr>
      <w:spacing w:after="0"/>
      <w:ind w:firstLine="142"/>
      <w:jc w:val="both"/>
    </w:pPr>
    <w:rPr>
      <w:rFonts w:eastAsia="Times New Roman" w:cs="Times New Roman"/>
      <w:spacing w:val="4"/>
      <w:szCs w:val="20"/>
      <w:lang w:eastAsia="pl-PL"/>
    </w:rPr>
  </w:style>
  <w:style w:type="paragraph" w:customStyle="1" w:styleId="Default">
    <w:name w:val="Default"/>
    <w:rsid w:val="002D2B6F"/>
    <w:pPr>
      <w:autoSpaceDE w:val="0"/>
      <w:autoSpaceDN w:val="0"/>
      <w:adjustRightInd w:val="0"/>
      <w:spacing w:after="0"/>
    </w:pPr>
    <w:rPr>
      <w:rFonts w:eastAsia="Times New Roman" w:cs="Times New Roman"/>
      <w:color w:val="000000"/>
      <w:szCs w:val="24"/>
      <w:lang w:eastAsia="pl-PL"/>
    </w:rPr>
  </w:style>
  <w:style w:type="paragraph" w:styleId="Akapitzlist">
    <w:name w:val="List Paragraph"/>
    <w:basedOn w:val="Normalny"/>
    <w:uiPriority w:val="34"/>
    <w:qFormat/>
    <w:rsid w:val="00B76924"/>
    <w:pPr>
      <w:ind w:left="720"/>
      <w:contextualSpacing/>
    </w:pPr>
  </w:style>
  <w:style w:type="character" w:customStyle="1" w:styleId="FontStyle81">
    <w:name w:val="Font Style81"/>
    <w:uiPriority w:val="99"/>
    <w:rsid w:val="00B76924"/>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C11A24"/>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C11A24"/>
    <w:rPr>
      <w:rFonts w:ascii="Tahoma" w:hAnsi="Tahoma" w:cs="Tahoma"/>
      <w:sz w:val="16"/>
      <w:szCs w:val="16"/>
    </w:rPr>
  </w:style>
  <w:style w:type="paragraph" w:styleId="Nagwek">
    <w:name w:val="header"/>
    <w:basedOn w:val="Normalny"/>
    <w:link w:val="NagwekZnak"/>
    <w:uiPriority w:val="99"/>
    <w:semiHidden/>
    <w:unhideWhenUsed/>
    <w:rsid w:val="00C11A24"/>
    <w:pPr>
      <w:tabs>
        <w:tab w:val="center" w:pos="4536"/>
        <w:tab w:val="right" w:pos="9072"/>
      </w:tabs>
      <w:spacing w:after="0"/>
    </w:pPr>
  </w:style>
  <w:style w:type="character" w:customStyle="1" w:styleId="NagwekZnak">
    <w:name w:val="Nagłówek Znak"/>
    <w:basedOn w:val="Domylnaczcionkaakapitu"/>
    <w:link w:val="Nagwek"/>
    <w:uiPriority w:val="99"/>
    <w:semiHidden/>
    <w:rsid w:val="00C11A24"/>
  </w:style>
  <w:style w:type="paragraph" w:styleId="Stopka">
    <w:name w:val="footer"/>
    <w:basedOn w:val="Normalny"/>
    <w:link w:val="StopkaZnak"/>
    <w:uiPriority w:val="99"/>
    <w:unhideWhenUsed/>
    <w:rsid w:val="00C11A24"/>
    <w:pPr>
      <w:tabs>
        <w:tab w:val="center" w:pos="4536"/>
        <w:tab w:val="right" w:pos="9072"/>
      </w:tabs>
      <w:spacing w:after="0"/>
    </w:pPr>
  </w:style>
  <w:style w:type="character" w:customStyle="1" w:styleId="StopkaZnak">
    <w:name w:val="Stopka Znak"/>
    <w:basedOn w:val="Domylnaczcionkaakapitu"/>
    <w:link w:val="Stopka"/>
    <w:uiPriority w:val="99"/>
    <w:rsid w:val="00C11A24"/>
  </w:style>
</w:styles>
</file>

<file path=word/webSettings.xml><?xml version="1.0" encoding="utf-8"?>
<w:webSettings xmlns:r="http://schemas.openxmlformats.org/officeDocument/2006/relationships" xmlns:w="http://schemas.openxmlformats.org/wordprocessingml/2006/main">
  <w:divs>
    <w:div w:id="1859447">
      <w:bodyDiv w:val="1"/>
      <w:marLeft w:val="0"/>
      <w:marRight w:val="0"/>
      <w:marTop w:val="0"/>
      <w:marBottom w:val="0"/>
      <w:divBdr>
        <w:top w:val="none" w:sz="0" w:space="0" w:color="auto"/>
        <w:left w:val="none" w:sz="0" w:space="0" w:color="auto"/>
        <w:bottom w:val="none" w:sz="0" w:space="0" w:color="auto"/>
        <w:right w:val="none" w:sz="0" w:space="0" w:color="auto"/>
      </w:divBdr>
    </w:div>
    <w:div w:id="978848468">
      <w:bodyDiv w:val="1"/>
      <w:marLeft w:val="0"/>
      <w:marRight w:val="0"/>
      <w:marTop w:val="0"/>
      <w:marBottom w:val="0"/>
      <w:divBdr>
        <w:top w:val="none" w:sz="0" w:space="0" w:color="auto"/>
        <w:left w:val="none" w:sz="0" w:space="0" w:color="auto"/>
        <w:bottom w:val="none" w:sz="0" w:space="0" w:color="auto"/>
        <w:right w:val="none" w:sz="0" w:space="0" w:color="auto"/>
      </w:divBdr>
    </w:div>
    <w:div w:id="1189105852">
      <w:bodyDiv w:val="1"/>
      <w:marLeft w:val="0"/>
      <w:marRight w:val="0"/>
      <w:marTop w:val="0"/>
      <w:marBottom w:val="0"/>
      <w:divBdr>
        <w:top w:val="none" w:sz="0" w:space="0" w:color="auto"/>
        <w:left w:val="none" w:sz="0" w:space="0" w:color="auto"/>
        <w:bottom w:val="none" w:sz="0" w:space="0" w:color="auto"/>
        <w:right w:val="none" w:sz="0" w:space="0" w:color="auto"/>
      </w:divBdr>
    </w:div>
    <w:div w:id="142811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wikipedia.org/wiki/Muzeum_etnograficz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2615</Words>
  <Characters>15692</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Różański</dc:creator>
  <cp:lastModifiedBy>Darek</cp:lastModifiedBy>
  <cp:revision>2</cp:revision>
  <dcterms:created xsi:type="dcterms:W3CDTF">2025-03-17T07:38:00Z</dcterms:created>
  <dcterms:modified xsi:type="dcterms:W3CDTF">2025-03-17T07:38:00Z</dcterms:modified>
</cp:coreProperties>
</file>