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47778" w14:textId="77777777" w:rsidR="00D11151" w:rsidRPr="00034A73" w:rsidRDefault="00D11151" w:rsidP="00235703">
      <w:pPr>
        <w:jc w:val="both"/>
        <w:rPr>
          <w:b/>
          <w:sz w:val="28"/>
          <w:szCs w:val="28"/>
          <w:lang w:val="en-US"/>
        </w:rPr>
      </w:pPr>
      <w:proofErr w:type="spellStart"/>
      <w:r w:rsidRPr="00034A73">
        <w:rPr>
          <w:b/>
          <w:sz w:val="28"/>
          <w:szCs w:val="28"/>
          <w:lang w:val="en-US"/>
        </w:rPr>
        <w:t>Serteya</w:t>
      </w:r>
      <w:proofErr w:type="spellEnd"/>
      <w:r w:rsidRPr="00034A73">
        <w:rPr>
          <w:b/>
          <w:sz w:val="28"/>
          <w:szCs w:val="28"/>
          <w:lang w:val="en-US"/>
        </w:rPr>
        <w:t xml:space="preserve"> Kettle Hole: </w:t>
      </w:r>
      <w:r w:rsidR="00034A73">
        <w:rPr>
          <w:b/>
          <w:sz w:val="28"/>
          <w:szCs w:val="28"/>
          <w:lang w:val="en-US"/>
        </w:rPr>
        <w:t xml:space="preserve">results of </w:t>
      </w:r>
      <w:r w:rsidR="00C72206" w:rsidRPr="00034A73">
        <w:rPr>
          <w:b/>
          <w:sz w:val="28"/>
          <w:szCs w:val="28"/>
          <w:lang w:val="en-US"/>
        </w:rPr>
        <w:t xml:space="preserve">pollen and </w:t>
      </w:r>
      <w:r w:rsidR="00034A73">
        <w:rPr>
          <w:b/>
          <w:sz w:val="28"/>
          <w:szCs w:val="28"/>
          <w:lang w:val="en-US"/>
        </w:rPr>
        <w:t>non-pollen palynomorphs</w:t>
      </w:r>
      <w:r w:rsidR="00C72206" w:rsidRPr="00034A73">
        <w:rPr>
          <w:b/>
          <w:sz w:val="28"/>
          <w:szCs w:val="28"/>
          <w:lang w:val="en-US"/>
        </w:rPr>
        <w:t xml:space="preserve"> analysis</w:t>
      </w:r>
    </w:p>
    <w:p w14:paraId="35C82CC2" w14:textId="77777777" w:rsidR="0031542C" w:rsidRPr="0031542C" w:rsidRDefault="0031542C" w:rsidP="00235703">
      <w:pPr>
        <w:jc w:val="both"/>
        <w:rPr>
          <w:b/>
          <w:lang w:val="en-US"/>
        </w:rPr>
      </w:pPr>
      <w:r>
        <w:rPr>
          <w:b/>
          <w:lang w:val="en-US"/>
        </w:rPr>
        <w:t>Emilie Gauthier</w:t>
      </w:r>
    </w:p>
    <w:p w14:paraId="5B69D32F" w14:textId="77777777" w:rsidR="00C97B39" w:rsidRDefault="00C97B39" w:rsidP="00C97B39">
      <w:pPr>
        <w:jc w:val="both"/>
        <w:rPr>
          <w:lang w:val="en-US"/>
        </w:rPr>
      </w:pPr>
      <w:r w:rsidRPr="00C97B39">
        <w:rPr>
          <w:lang w:val="en-US"/>
        </w:rPr>
        <w:t>The core studied was taken from a peat bog near the excavated archaeological sites (Mazurkevich et al., 200</w:t>
      </w:r>
      <w:r w:rsidR="006F2DC8">
        <w:rPr>
          <w:lang w:val="en-US"/>
        </w:rPr>
        <w:t>9</w:t>
      </w:r>
      <w:r w:rsidRPr="00C97B39">
        <w:rPr>
          <w:lang w:val="en-US"/>
        </w:rPr>
        <w:t>; Kittel et al., 2018; 202</w:t>
      </w:r>
      <w:r w:rsidR="006F2DC8">
        <w:rPr>
          <w:lang w:val="en-US"/>
        </w:rPr>
        <w:t>3</w:t>
      </w:r>
      <w:r w:rsidRPr="00C97B39">
        <w:rPr>
          <w:lang w:val="en-US"/>
        </w:rPr>
        <w:t xml:space="preserve">). Peat deposits provide an ideal setting for reconstructing vegetation and climate changes through the study of fossil pollen grains, spores, and non-pollen microfossils (NPM). This palynological study focuses on the upper part of the sedimentary record, from 369 to 273 cm in depth, at the transition from the Subboreal to the </w:t>
      </w:r>
      <w:proofErr w:type="spellStart"/>
      <w:r w:rsidRPr="00C97B39">
        <w:rPr>
          <w:lang w:val="en-US"/>
        </w:rPr>
        <w:t>Subatlantic</w:t>
      </w:r>
      <w:proofErr w:type="spellEnd"/>
      <w:r w:rsidRPr="00C97B39">
        <w:rPr>
          <w:lang w:val="en-US"/>
        </w:rPr>
        <w:t>, during the Upper Holocene (4200 BP to the present). The aim of this study is to supplement the pollen data from the T3C3 core to better understand vegetation dynamics and ecosystem changes, both at the ultra-local scale of the peatland and its immediate surroundings, and at the broader scale of the valley and the Eastern European Plain.</w:t>
      </w:r>
    </w:p>
    <w:p w14:paraId="05D7A192" w14:textId="77777777" w:rsidR="00C72206" w:rsidRPr="00337105" w:rsidRDefault="00C72206" w:rsidP="00C97B39">
      <w:pPr>
        <w:jc w:val="both"/>
        <w:rPr>
          <w:b/>
          <w:sz w:val="24"/>
          <w:szCs w:val="24"/>
          <w:lang w:val="en-US"/>
        </w:rPr>
      </w:pPr>
      <w:r w:rsidRPr="00337105">
        <w:rPr>
          <w:b/>
          <w:sz w:val="24"/>
          <w:szCs w:val="24"/>
          <w:lang w:val="en-US"/>
        </w:rPr>
        <w:t>1. Methodology</w:t>
      </w:r>
    </w:p>
    <w:p w14:paraId="3C5E1C4E" w14:textId="0AAED806" w:rsidR="007D663D" w:rsidRDefault="007D663D" w:rsidP="005D09AC">
      <w:pPr>
        <w:jc w:val="both"/>
        <w:rPr>
          <w:lang w:val="en-US"/>
        </w:rPr>
      </w:pPr>
      <w:r w:rsidRPr="007D663D">
        <w:rPr>
          <w:lang w:val="en-US"/>
        </w:rPr>
        <w:t xml:space="preserve">The sedimentary core was extracted using a Russian corer to a depth of 13.5 </w:t>
      </w:r>
      <w:proofErr w:type="spellStart"/>
      <w:r w:rsidRPr="007D663D">
        <w:rPr>
          <w:lang w:val="en-US"/>
        </w:rPr>
        <w:t>metres</w:t>
      </w:r>
      <w:proofErr w:type="spellEnd"/>
      <w:r w:rsidRPr="007D663D">
        <w:rPr>
          <w:lang w:val="en-US"/>
        </w:rPr>
        <w:t xml:space="preserve">. </w:t>
      </w:r>
      <w:r w:rsidR="006811D3" w:rsidRPr="006811D3">
        <w:rPr>
          <w:lang w:val="en-US"/>
        </w:rPr>
        <w:t>35</w:t>
      </w:r>
      <w:r w:rsidR="00A17300">
        <w:rPr>
          <w:lang w:val="en-US"/>
        </w:rPr>
        <w:t>1</w:t>
      </w:r>
      <w:r w:rsidRPr="006811D3">
        <w:rPr>
          <w:lang w:val="en-US"/>
        </w:rPr>
        <w:t xml:space="preserve"> samples</w:t>
      </w:r>
      <w:r w:rsidRPr="007D663D">
        <w:rPr>
          <w:lang w:val="en-US"/>
        </w:rPr>
        <w:t xml:space="preserve"> were selected for the study. </w:t>
      </w:r>
      <w:r>
        <w:rPr>
          <w:lang w:val="en-US"/>
        </w:rPr>
        <w:t>1 cm3</w:t>
      </w:r>
      <w:r w:rsidRPr="007D663D">
        <w:rPr>
          <w:lang w:val="en-US"/>
        </w:rPr>
        <w:t xml:space="preserve"> </w:t>
      </w:r>
      <w:r w:rsidR="00A17300">
        <w:rPr>
          <w:lang w:val="en-US"/>
        </w:rPr>
        <w:t>wa</w:t>
      </w:r>
      <w:r w:rsidRPr="007D663D">
        <w:rPr>
          <w:lang w:val="en-US"/>
        </w:rPr>
        <w:t xml:space="preserve">s taken from each sample for </w:t>
      </w:r>
      <w:proofErr w:type="spellStart"/>
      <w:r w:rsidRPr="007D663D">
        <w:rPr>
          <w:lang w:val="en-US"/>
        </w:rPr>
        <w:t>physico</w:t>
      </w:r>
      <w:proofErr w:type="spellEnd"/>
      <w:r w:rsidRPr="007D663D">
        <w:rPr>
          <w:lang w:val="en-US"/>
        </w:rPr>
        <w:t xml:space="preserve">-chemical preparation in accordance with the protocol established by the Chrono-Environment Laboratory (UMR 6249), based on the Frenzel method (Moore et al. 1991). The extraction process for pollen and non-pollen microfossils (NPM) involves, firstly, the addition of three Lycopodium pellets; secondly, the chemical treatment steps for decarbonation of the siliceous material using 37% and 10% HCl, and destruction using 40% HF; </w:t>
      </w:r>
      <w:proofErr w:type="spellStart"/>
      <w:r w:rsidRPr="007D663D">
        <w:rPr>
          <w:lang w:val="en-US"/>
        </w:rPr>
        <w:t>densimetric</w:t>
      </w:r>
      <w:proofErr w:type="spellEnd"/>
      <w:r w:rsidRPr="007D663D">
        <w:rPr>
          <w:lang w:val="en-US"/>
        </w:rPr>
        <w:t xml:space="preserve"> separation by adding </w:t>
      </w:r>
      <w:proofErr w:type="spellStart"/>
      <w:r w:rsidRPr="007D663D">
        <w:rPr>
          <w:lang w:val="en-US"/>
        </w:rPr>
        <w:t>ZnCl</w:t>
      </w:r>
      <w:proofErr w:type="spellEnd"/>
      <w:r w:rsidRPr="007D663D">
        <w:rPr>
          <w:lang w:val="en-US"/>
        </w:rPr>
        <w:t>₂ with a density of 1.9; removal of organic matter using 10% NaOH; and finally, acetolysis.</w:t>
      </w:r>
      <w:r w:rsidR="005D09AC">
        <w:rPr>
          <w:lang w:val="en-US"/>
        </w:rPr>
        <w:t xml:space="preserve"> </w:t>
      </w:r>
      <w:r w:rsidR="005D09AC" w:rsidRPr="005D09AC">
        <w:rPr>
          <w:lang w:val="en-US"/>
        </w:rPr>
        <w:t>Cyperaceae, hygrophilous</w:t>
      </w:r>
      <w:r w:rsidR="005D09AC">
        <w:rPr>
          <w:lang w:val="en-US"/>
        </w:rPr>
        <w:t xml:space="preserve"> and aquatic </w:t>
      </w:r>
      <w:r w:rsidR="005D09AC" w:rsidRPr="005D09AC">
        <w:rPr>
          <w:lang w:val="en-US"/>
        </w:rPr>
        <w:t>plants, spores and non-pollen palynomorphs were excluded from</w:t>
      </w:r>
      <w:r w:rsidR="005D09AC">
        <w:rPr>
          <w:lang w:val="en-US"/>
        </w:rPr>
        <w:t xml:space="preserve"> </w:t>
      </w:r>
      <w:r w:rsidR="005D09AC" w:rsidRPr="005D09AC">
        <w:rPr>
          <w:lang w:val="en-US"/>
        </w:rPr>
        <w:t>the pollen sum. Pollen grains were identified using a reference</w:t>
      </w:r>
      <w:r w:rsidR="005D09AC">
        <w:rPr>
          <w:lang w:val="en-US"/>
        </w:rPr>
        <w:t xml:space="preserve"> </w:t>
      </w:r>
      <w:r w:rsidR="005D09AC" w:rsidRPr="005D09AC">
        <w:rPr>
          <w:lang w:val="en-US"/>
        </w:rPr>
        <w:t>collection of modern pollen types and keys (</w:t>
      </w:r>
      <w:proofErr w:type="spellStart"/>
      <w:r w:rsidR="005D09AC" w:rsidRPr="005D09AC">
        <w:rPr>
          <w:lang w:val="en-US"/>
        </w:rPr>
        <w:t>Faegri</w:t>
      </w:r>
      <w:proofErr w:type="spellEnd"/>
      <w:r w:rsidR="005D09AC" w:rsidRPr="005D09AC">
        <w:rPr>
          <w:lang w:val="en-US"/>
        </w:rPr>
        <w:t xml:space="preserve"> and Iversen,</w:t>
      </w:r>
      <w:r w:rsidR="005D09AC">
        <w:rPr>
          <w:lang w:val="en-US"/>
        </w:rPr>
        <w:t xml:space="preserve"> </w:t>
      </w:r>
      <w:r w:rsidR="005D09AC" w:rsidRPr="005D09AC">
        <w:rPr>
          <w:lang w:val="en-US"/>
        </w:rPr>
        <w:t>1989; Moore et al., 1991), and photographs (Beug, 2004; Reille,</w:t>
      </w:r>
      <w:r w:rsidR="005D09AC">
        <w:rPr>
          <w:lang w:val="en-US"/>
        </w:rPr>
        <w:t xml:space="preserve"> </w:t>
      </w:r>
      <w:r w:rsidR="005D09AC" w:rsidRPr="005D09AC">
        <w:rPr>
          <w:lang w:val="en-US"/>
        </w:rPr>
        <w:t>1992). Non-pollen palynomorphs were identified according to</w:t>
      </w:r>
      <w:r w:rsidR="005D09AC">
        <w:rPr>
          <w:lang w:val="en-US"/>
        </w:rPr>
        <w:t xml:space="preserve"> </w:t>
      </w:r>
      <w:r w:rsidR="005D09AC" w:rsidRPr="005D09AC">
        <w:rPr>
          <w:lang w:val="en-US"/>
        </w:rPr>
        <w:t xml:space="preserve">van Geel et al., (2003), van Geel and Aptroot (2006) and </w:t>
      </w:r>
      <w:proofErr w:type="spellStart"/>
      <w:r w:rsidR="005D09AC" w:rsidRPr="005D09AC">
        <w:rPr>
          <w:lang w:val="en-US"/>
        </w:rPr>
        <w:t>Cugny</w:t>
      </w:r>
      <w:proofErr w:type="spellEnd"/>
      <w:r w:rsidR="005D09AC">
        <w:rPr>
          <w:lang w:val="en-US"/>
        </w:rPr>
        <w:t xml:space="preserve"> </w:t>
      </w:r>
      <w:r w:rsidR="005D09AC" w:rsidRPr="005D09AC">
        <w:rPr>
          <w:lang w:val="en-US"/>
        </w:rPr>
        <w:t>et al. (2010), and percentages were calculated based on the same</w:t>
      </w:r>
      <w:r w:rsidR="005D09AC">
        <w:rPr>
          <w:lang w:val="en-US"/>
        </w:rPr>
        <w:t xml:space="preserve"> </w:t>
      </w:r>
      <w:r w:rsidR="005D09AC" w:rsidRPr="005D09AC">
        <w:rPr>
          <w:lang w:val="en-US"/>
        </w:rPr>
        <w:t>pollen sum used for the pollen diagram (van Geel et al., 1980).</w:t>
      </w:r>
      <w:r w:rsidR="005D09AC">
        <w:rPr>
          <w:lang w:val="en-US"/>
        </w:rPr>
        <w:t xml:space="preserve"> </w:t>
      </w:r>
      <w:r w:rsidR="005D09AC" w:rsidRPr="005D09AC">
        <w:rPr>
          <w:lang w:val="en-US"/>
        </w:rPr>
        <w:t xml:space="preserve">Among NPP, coprophilous and </w:t>
      </w:r>
      <w:proofErr w:type="spellStart"/>
      <w:r w:rsidR="005D09AC" w:rsidRPr="005D09AC">
        <w:rPr>
          <w:lang w:val="en-US"/>
        </w:rPr>
        <w:t>saprophilous</w:t>
      </w:r>
      <w:proofErr w:type="spellEnd"/>
      <w:r w:rsidR="005D09AC" w:rsidRPr="005D09AC">
        <w:rPr>
          <w:lang w:val="en-US"/>
        </w:rPr>
        <w:t xml:space="preserve"> fungal spores are</w:t>
      </w:r>
      <w:r w:rsidR="005D09AC">
        <w:rPr>
          <w:lang w:val="en-US"/>
        </w:rPr>
        <w:t xml:space="preserve"> </w:t>
      </w:r>
      <w:r w:rsidR="005D09AC" w:rsidRPr="005D09AC">
        <w:rPr>
          <w:lang w:val="en-US"/>
        </w:rPr>
        <w:t>a useful tool to detect large herbivores presence, however, it</w:t>
      </w:r>
      <w:r w:rsidR="005D09AC">
        <w:rPr>
          <w:lang w:val="en-US"/>
        </w:rPr>
        <w:t xml:space="preserve"> </w:t>
      </w:r>
      <w:r w:rsidR="005D09AC" w:rsidRPr="005D09AC">
        <w:rPr>
          <w:lang w:val="en-US"/>
        </w:rPr>
        <w:t>difficult to interpret in terms of herbivores abundance/biomass or</w:t>
      </w:r>
      <w:r w:rsidR="005D09AC">
        <w:rPr>
          <w:lang w:val="en-US"/>
        </w:rPr>
        <w:t xml:space="preserve"> </w:t>
      </w:r>
      <w:r w:rsidR="005D09AC" w:rsidRPr="005D09AC">
        <w:rPr>
          <w:lang w:val="en-US"/>
        </w:rPr>
        <w:t>density (Baker</w:t>
      </w:r>
      <w:r w:rsidR="005D09AC">
        <w:rPr>
          <w:lang w:val="en-US"/>
        </w:rPr>
        <w:t xml:space="preserve"> </w:t>
      </w:r>
      <w:r w:rsidR="005D09AC" w:rsidRPr="005D09AC">
        <w:rPr>
          <w:lang w:val="en-US"/>
        </w:rPr>
        <w:t>et al., 2013) as many factors (herbivores species, vegetation influence, depositional</w:t>
      </w:r>
      <w:r w:rsidR="005D09AC">
        <w:rPr>
          <w:lang w:val="en-US"/>
        </w:rPr>
        <w:t xml:space="preserve"> </w:t>
      </w:r>
      <w:r w:rsidR="005D09AC" w:rsidRPr="005D09AC">
        <w:rPr>
          <w:lang w:val="en-US"/>
        </w:rPr>
        <w:t>environment</w:t>
      </w:r>
      <w:r w:rsidR="005D09AC">
        <w:rPr>
          <w:lang w:val="en-US"/>
        </w:rPr>
        <w:t xml:space="preserve"> </w:t>
      </w:r>
      <w:r w:rsidR="005D09AC" w:rsidRPr="005D09AC">
        <w:rPr>
          <w:lang w:val="en-US"/>
        </w:rPr>
        <w:t>etc.) can influence their representation.</w:t>
      </w:r>
    </w:p>
    <w:p w14:paraId="0170B402" w14:textId="77777777" w:rsidR="008053AF" w:rsidRPr="00337105" w:rsidRDefault="00C72206" w:rsidP="00235703">
      <w:pPr>
        <w:jc w:val="both"/>
        <w:rPr>
          <w:b/>
          <w:sz w:val="24"/>
          <w:szCs w:val="24"/>
          <w:lang w:val="en-US"/>
        </w:rPr>
      </w:pPr>
      <w:r w:rsidRPr="00337105">
        <w:rPr>
          <w:b/>
          <w:sz w:val="24"/>
          <w:szCs w:val="24"/>
          <w:lang w:val="en-US"/>
        </w:rPr>
        <w:t xml:space="preserve">2. Vegetation history of the </w:t>
      </w:r>
      <w:proofErr w:type="spellStart"/>
      <w:r w:rsidRPr="00337105">
        <w:rPr>
          <w:b/>
          <w:sz w:val="24"/>
          <w:szCs w:val="24"/>
          <w:lang w:val="en-US"/>
        </w:rPr>
        <w:t>Serteya</w:t>
      </w:r>
      <w:proofErr w:type="spellEnd"/>
      <w:r w:rsidRPr="00337105">
        <w:rPr>
          <w:b/>
          <w:sz w:val="24"/>
          <w:szCs w:val="24"/>
          <w:lang w:val="en-US"/>
        </w:rPr>
        <w:t xml:space="preserve"> area. </w:t>
      </w:r>
    </w:p>
    <w:p w14:paraId="5BB651C5" w14:textId="77777777" w:rsidR="004F2A10" w:rsidRPr="004F2A10" w:rsidRDefault="00884B35" w:rsidP="00235703">
      <w:pPr>
        <w:jc w:val="both"/>
        <w:rPr>
          <w:lang w:val="en-US"/>
        </w:rPr>
      </w:pPr>
      <w:r>
        <w:rPr>
          <w:lang w:val="en-US"/>
        </w:rPr>
        <w:t>2. 1. The e</w:t>
      </w:r>
      <w:r w:rsidR="004F2A10">
        <w:rPr>
          <w:lang w:val="en-US"/>
        </w:rPr>
        <w:t xml:space="preserve">nd of the </w:t>
      </w:r>
      <w:proofErr w:type="spellStart"/>
      <w:r w:rsidR="00244B7A">
        <w:rPr>
          <w:lang w:val="en-US"/>
        </w:rPr>
        <w:t>L</w:t>
      </w:r>
      <w:r w:rsidR="004F2A10">
        <w:rPr>
          <w:lang w:val="en-US"/>
        </w:rPr>
        <w:t>a</w:t>
      </w:r>
      <w:r w:rsidR="00244B7A">
        <w:rPr>
          <w:lang w:val="en-US"/>
        </w:rPr>
        <w:t>te</w:t>
      </w:r>
      <w:r w:rsidR="004F2A10">
        <w:rPr>
          <w:lang w:val="en-US"/>
        </w:rPr>
        <w:t>glacial</w:t>
      </w:r>
      <w:proofErr w:type="spellEnd"/>
      <w:r w:rsidR="004F2A10">
        <w:rPr>
          <w:lang w:val="en-US"/>
        </w:rPr>
        <w:t xml:space="preserve"> period (</w:t>
      </w:r>
      <w:r w:rsidRPr="008053AF">
        <w:rPr>
          <w:lang w:val="en-US"/>
        </w:rPr>
        <w:t>T1</w:t>
      </w:r>
      <w:r>
        <w:rPr>
          <w:lang w:val="en-US"/>
        </w:rPr>
        <w:t xml:space="preserve">: </w:t>
      </w:r>
      <w:r w:rsidR="004F2A10">
        <w:rPr>
          <w:lang w:val="en-US"/>
        </w:rPr>
        <w:t>1324</w:t>
      </w:r>
      <w:r w:rsidR="004F2A10" w:rsidRPr="004F2A10">
        <w:rPr>
          <w:lang w:val="en-US"/>
        </w:rPr>
        <w:t>–1165</w:t>
      </w:r>
      <w:r w:rsidR="004F2A10">
        <w:rPr>
          <w:lang w:val="en-US"/>
        </w:rPr>
        <w:t xml:space="preserve"> cm</w:t>
      </w:r>
      <w:r w:rsidR="004F2A10" w:rsidRPr="004F2A10">
        <w:rPr>
          <w:lang w:val="en-US"/>
        </w:rPr>
        <w:t>, 1</w:t>
      </w:r>
      <w:r w:rsidR="004F2A10">
        <w:rPr>
          <w:lang w:val="en-US"/>
        </w:rPr>
        <w:t>3</w:t>
      </w:r>
      <w:r w:rsidR="004F2A10" w:rsidRPr="004F2A10">
        <w:rPr>
          <w:lang w:val="en-US"/>
        </w:rPr>
        <w:t>,0</w:t>
      </w:r>
      <w:r w:rsidR="004F2A10">
        <w:rPr>
          <w:lang w:val="en-US"/>
        </w:rPr>
        <w:t>5</w:t>
      </w:r>
      <w:r w:rsidR="004F2A10" w:rsidRPr="004F2A10">
        <w:rPr>
          <w:lang w:val="en-US"/>
        </w:rPr>
        <w:t>0–11,400</w:t>
      </w:r>
      <w:r w:rsidR="004F2A10">
        <w:rPr>
          <w:lang w:val="en-US"/>
        </w:rPr>
        <w:t xml:space="preserve"> cal. BP)</w:t>
      </w:r>
    </w:p>
    <w:p w14:paraId="7C6BD060" w14:textId="77777777" w:rsidR="00C97B39" w:rsidRDefault="00C97B39" w:rsidP="00235703">
      <w:pPr>
        <w:jc w:val="both"/>
        <w:rPr>
          <w:lang w:val="en-US"/>
        </w:rPr>
      </w:pPr>
      <w:r w:rsidRPr="00C97B39">
        <w:rPr>
          <w:lang w:val="en-US"/>
        </w:rPr>
        <w:t xml:space="preserve">The landscape around the lake at the end of the Allerød is </w:t>
      </w:r>
      <w:proofErr w:type="spellStart"/>
      <w:r w:rsidRPr="00C97B39">
        <w:rPr>
          <w:lang w:val="en-US"/>
        </w:rPr>
        <w:t>characterised</w:t>
      </w:r>
      <w:proofErr w:type="spellEnd"/>
      <w:r w:rsidRPr="00C97B39">
        <w:rPr>
          <w:lang w:val="en-US"/>
        </w:rPr>
        <w:t xml:space="preserve"> by tundra-boreal vegetation with open pine forest (</w:t>
      </w:r>
      <w:r w:rsidRPr="00C97B39">
        <w:rPr>
          <w:i/>
          <w:lang w:val="en-US"/>
        </w:rPr>
        <w:t>Pinus</w:t>
      </w:r>
      <w:r w:rsidRPr="00C97B39">
        <w:rPr>
          <w:lang w:val="en-US"/>
        </w:rPr>
        <w:t xml:space="preserve">) mixed with </w:t>
      </w:r>
      <w:r w:rsidRPr="00C97B39">
        <w:rPr>
          <w:i/>
          <w:lang w:val="en-US"/>
        </w:rPr>
        <w:t>Betula</w:t>
      </w:r>
      <w:r w:rsidRPr="00C97B39">
        <w:rPr>
          <w:lang w:val="en-US"/>
        </w:rPr>
        <w:t xml:space="preserve">, </w:t>
      </w:r>
      <w:r w:rsidRPr="00C97B39">
        <w:rPr>
          <w:i/>
          <w:lang w:val="en-US"/>
        </w:rPr>
        <w:t>Picea</w:t>
      </w:r>
      <w:r w:rsidRPr="00C97B39">
        <w:rPr>
          <w:lang w:val="en-US"/>
        </w:rPr>
        <w:t xml:space="preserve">, </w:t>
      </w:r>
      <w:r w:rsidRPr="00C97B39">
        <w:rPr>
          <w:i/>
          <w:lang w:val="en-US"/>
        </w:rPr>
        <w:t>Juniperus</w:t>
      </w:r>
      <w:r w:rsidRPr="00C97B39">
        <w:rPr>
          <w:lang w:val="en-US"/>
        </w:rPr>
        <w:t xml:space="preserve">), and </w:t>
      </w:r>
      <w:r w:rsidRPr="00C97B39">
        <w:rPr>
          <w:i/>
          <w:lang w:val="en-US"/>
        </w:rPr>
        <w:t>Salix</w:t>
      </w:r>
      <w:r w:rsidRPr="00C97B39">
        <w:rPr>
          <w:lang w:val="en-US"/>
        </w:rPr>
        <w:t>. The end of the Allerød and the transition to the Younger Dryas are marked by extensive fires and erosion in the catchment area. The abundance of coprophilous fungal spores results from erosion, particularly during the Allerød, but raises questions about the presence of the last remnants of the large herbivore population that gradually disappeared. After the transition from the Allerød to the Younger Dryas at approximately 12,850 cal. BP (GS-1 phase), spruce, birch, and juniper (Juniperus) replace pine cover. The progressive increase in heliophilous plants such as Artemisia suggests a more open landscape.</w:t>
      </w:r>
    </w:p>
    <w:p w14:paraId="4F25E810" w14:textId="77777777" w:rsidR="00244B7A" w:rsidRDefault="00884B35" w:rsidP="00235703">
      <w:pPr>
        <w:jc w:val="both"/>
        <w:rPr>
          <w:lang w:val="en-US"/>
        </w:rPr>
      </w:pPr>
      <w:r>
        <w:rPr>
          <w:lang w:val="en-US"/>
        </w:rPr>
        <w:t>2.2. The boreal forest</w:t>
      </w:r>
      <w:r w:rsidR="00235703">
        <w:rPr>
          <w:lang w:val="en-US"/>
        </w:rPr>
        <w:t xml:space="preserve"> (</w:t>
      </w:r>
      <w:r>
        <w:rPr>
          <w:lang w:val="en-US"/>
        </w:rPr>
        <w:t xml:space="preserve">T2. </w:t>
      </w:r>
      <w:r w:rsidR="00244B7A" w:rsidRPr="00244B7A">
        <w:rPr>
          <w:lang w:val="en-US"/>
        </w:rPr>
        <w:t>1165–</w:t>
      </w:r>
      <w:r w:rsidR="00244B7A">
        <w:rPr>
          <w:lang w:val="en-US"/>
        </w:rPr>
        <w:t xml:space="preserve">800 cm, </w:t>
      </w:r>
      <w:r w:rsidR="00244B7A" w:rsidRPr="00244B7A">
        <w:rPr>
          <w:lang w:val="en-US"/>
        </w:rPr>
        <w:t>11,350–</w:t>
      </w:r>
      <w:r w:rsidR="00244B7A">
        <w:rPr>
          <w:lang w:val="en-US"/>
        </w:rPr>
        <w:t>8,000 cal. BP</w:t>
      </w:r>
      <w:r w:rsidR="00235703">
        <w:rPr>
          <w:lang w:val="en-US"/>
        </w:rPr>
        <w:t>)</w:t>
      </w:r>
    </w:p>
    <w:p w14:paraId="7C448AF2" w14:textId="77777777" w:rsidR="003A5422" w:rsidRDefault="00C97B39" w:rsidP="00235703">
      <w:pPr>
        <w:jc w:val="both"/>
        <w:rPr>
          <w:lang w:val="en-US"/>
        </w:rPr>
      </w:pPr>
      <w:r w:rsidRPr="00C97B39">
        <w:rPr>
          <w:lang w:val="en-US"/>
        </w:rPr>
        <w:t xml:space="preserve">Climate warming in the Early Holocene (H3 phase) is dated to approximately 11,700/11,600 cal. BP. In </w:t>
      </w:r>
      <w:proofErr w:type="spellStart"/>
      <w:r w:rsidRPr="00C97B39">
        <w:rPr>
          <w:lang w:val="en-US"/>
        </w:rPr>
        <w:t>Serteya</w:t>
      </w:r>
      <w:proofErr w:type="spellEnd"/>
      <w:r w:rsidRPr="00C97B39">
        <w:rPr>
          <w:lang w:val="en-US"/>
        </w:rPr>
        <w:t xml:space="preserve">, heliophilous plants decline from 11,600 cal. BP and are replaced by a massive spread of </w:t>
      </w:r>
      <w:r w:rsidRPr="00C97B39">
        <w:rPr>
          <w:i/>
          <w:lang w:val="en-US"/>
        </w:rPr>
        <w:t>Pinus</w:t>
      </w:r>
      <w:r w:rsidRPr="00C97B39">
        <w:rPr>
          <w:lang w:val="en-US"/>
        </w:rPr>
        <w:t xml:space="preserve"> and, from 11,200 cal. BP, </w:t>
      </w:r>
      <w:r w:rsidRPr="00C97B39">
        <w:rPr>
          <w:i/>
          <w:lang w:val="en-US"/>
        </w:rPr>
        <w:t>Betula</w:t>
      </w:r>
      <w:r w:rsidRPr="00C97B39">
        <w:rPr>
          <w:lang w:val="en-US"/>
        </w:rPr>
        <w:t xml:space="preserve">; the latter becomes the dominant tree species for about 1,000 years, </w:t>
      </w:r>
      <w:r w:rsidRPr="00C97B39">
        <w:rPr>
          <w:lang w:val="en-US"/>
        </w:rPr>
        <w:lastRenderedPageBreak/>
        <w:t xml:space="preserve">with very high influx. Thereafter, pine increases again, accompanied by </w:t>
      </w:r>
      <w:proofErr w:type="spellStart"/>
      <w:r w:rsidRPr="00C97B39">
        <w:rPr>
          <w:lang w:val="en-US"/>
        </w:rPr>
        <w:t>thermophilous</w:t>
      </w:r>
      <w:proofErr w:type="spellEnd"/>
      <w:r w:rsidRPr="00C97B39">
        <w:rPr>
          <w:lang w:val="en-US"/>
        </w:rPr>
        <w:t xml:space="preserve"> species of the mixed oak forest (Ulmus from 10,400 cal. BP, followed by Tilia and Quercus), </w:t>
      </w:r>
      <w:proofErr w:type="spellStart"/>
      <w:r w:rsidRPr="00C97B39">
        <w:rPr>
          <w:lang w:val="en-US"/>
        </w:rPr>
        <w:t>favoured</w:t>
      </w:r>
      <w:proofErr w:type="spellEnd"/>
      <w:r w:rsidRPr="00C97B39">
        <w:rPr>
          <w:lang w:val="en-US"/>
        </w:rPr>
        <w:t xml:space="preserve"> by the warming conditions of the Early Holocene (Tarasov et al., 2022). Wetland trees such as </w:t>
      </w:r>
      <w:r w:rsidRPr="00C97B39">
        <w:rPr>
          <w:i/>
          <w:lang w:val="en-US"/>
        </w:rPr>
        <w:t>Alnus</w:t>
      </w:r>
      <w:r w:rsidRPr="00C97B39">
        <w:rPr>
          <w:lang w:val="en-US"/>
        </w:rPr>
        <w:t xml:space="preserve"> and </w:t>
      </w:r>
      <w:r w:rsidRPr="00C97B39">
        <w:rPr>
          <w:i/>
          <w:lang w:val="en-US"/>
        </w:rPr>
        <w:t>Salix</w:t>
      </w:r>
      <w:r w:rsidRPr="00C97B39">
        <w:rPr>
          <w:lang w:val="en-US"/>
        </w:rPr>
        <w:t xml:space="preserve"> also increase during this period, and regular occurrences of coprophilous fungal spores are observed, suggesting the presence of herbivores in the surroundings.</w:t>
      </w:r>
    </w:p>
    <w:p w14:paraId="6C935DA6" w14:textId="77777777" w:rsidR="00F90AD1" w:rsidRPr="002C640A" w:rsidRDefault="00884B35" w:rsidP="00235703">
      <w:pPr>
        <w:jc w:val="both"/>
        <w:rPr>
          <w:lang w:val="en-US"/>
        </w:rPr>
      </w:pPr>
      <w:r>
        <w:rPr>
          <w:lang w:val="en-US"/>
        </w:rPr>
        <w:t>2.3. A dense and mixed forest (</w:t>
      </w:r>
      <w:r w:rsidR="00AC6A0F" w:rsidRPr="002C640A">
        <w:rPr>
          <w:lang w:val="en-US"/>
        </w:rPr>
        <w:t>T3.</w:t>
      </w:r>
      <w:r>
        <w:rPr>
          <w:lang w:val="en-US"/>
        </w:rPr>
        <w:t xml:space="preserve">: </w:t>
      </w:r>
      <w:r w:rsidR="00AC6A0F" w:rsidRPr="002C640A">
        <w:rPr>
          <w:lang w:val="en-US"/>
        </w:rPr>
        <w:t xml:space="preserve">796 </w:t>
      </w:r>
      <w:r w:rsidR="002C640A" w:rsidRPr="002C640A">
        <w:rPr>
          <w:lang w:val="en-US"/>
        </w:rPr>
        <w:t>–</w:t>
      </w:r>
      <w:r w:rsidR="00AC6A0F" w:rsidRPr="002C640A">
        <w:rPr>
          <w:lang w:val="en-US"/>
        </w:rPr>
        <w:t xml:space="preserve"> </w:t>
      </w:r>
      <w:r w:rsidR="002C640A" w:rsidRPr="002C640A">
        <w:rPr>
          <w:lang w:val="en-US"/>
        </w:rPr>
        <w:t>86 cm,</w:t>
      </w:r>
      <w:r w:rsidR="002C640A">
        <w:rPr>
          <w:lang w:val="en-US"/>
        </w:rPr>
        <w:t xml:space="preserve"> </w:t>
      </w:r>
      <w:r w:rsidR="00337105">
        <w:rPr>
          <w:lang w:val="en-US"/>
        </w:rPr>
        <w:t>7896-950 BP)</w:t>
      </w:r>
    </w:p>
    <w:p w14:paraId="6C7C8D55" w14:textId="77777777" w:rsidR="00D2205A" w:rsidRPr="00D2205A" w:rsidRDefault="00D2205A" w:rsidP="00D2205A">
      <w:pPr>
        <w:jc w:val="both"/>
        <w:rPr>
          <w:lang w:val="en-US"/>
        </w:rPr>
      </w:pPr>
      <w:r w:rsidRPr="00D2205A">
        <w:rPr>
          <w:lang w:val="en-US"/>
        </w:rPr>
        <w:t xml:space="preserve">This zone covers a period of 7,000 years and is </w:t>
      </w:r>
      <w:proofErr w:type="spellStart"/>
      <w:r w:rsidRPr="00D2205A">
        <w:rPr>
          <w:lang w:val="en-US"/>
        </w:rPr>
        <w:t>characterised</w:t>
      </w:r>
      <w:proofErr w:type="spellEnd"/>
      <w:r w:rsidRPr="00D2205A">
        <w:rPr>
          <w:lang w:val="en-US"/>
        </w:rPr>
        <w:t xml:space="preserve"> by a diverse and dense forest cover. This period is marked by a steady increase in </w:t>
      </w:r>
      <w:r w:rsidRPr="00C97B39">
        <w:rPr>
          <w:i/>
          <w:lang w:val="en-US"/>
        </w:rPr>
        <w:t>Picea</w:t>
      </w:r>
      <w:r w:rsidRPr="00D2205A">
        <w:rPr>
          <w:lang w:val="en-US"/>
        </w:rPr>
        <w:t xml:space="preserve">, while </w:t>
      </w:r>
      <w:r w:rsidRPr="00C97B39">
        <w:rPr>
          <w:i/>
          <w:lang w:val="en-US"/>
        </w:rPr>
        <w:t>Pinus</w:t>
      </w:r>
      <w:r w:rsidRPr="00D2205A">
        <w:rPr>
          <w:lang w:val="en-US"/>
        </w:rPr>
        <w:t xml:space="preserve"> and </w:t>
      </w:r>
      <w:r w:rsidRPr="00C97B39">
        <w:rPr>
          <w:i/>
          <w:lang w:val="en-US"/>
        </w:rPr>
        <w:t>Betula</w:t>
      </w:r>
      <w:r w:rsidRPr="00D2205A">
        <w:rPr>
          <w:lang w:val="en-US"/>
        </w:rPr>
        <w:t xml:space="preserve"> show a slight decrease. The mixed oak forest, as well as </w:t>
      </w:r>
      <w:r w:rsidRPr="00C97B39">
        <w:rPr>
          <w:i/>
          <w:lang w:val="en-US"/>
        </w:rPr>
        <w:t>Corylus</w:t>
      </w:r>
      <w:r w:rsidRPr="00D2205A">
        <w:rPr>
          <w:lang w:val="en-US"/>
        </w:rPr>
        <w:t xml:space="preserve"> and </w:t>
      </w:r>
      <w:r w:rsidRPr="00C97B39">
        <w:rPr>
          <w:i/>
          <w:lang w:val="en-US"/>
        </w:rPr>
        <w:t>Alnus</w:t>
      </w:r>
      <w:r w:rsidRPr="00D2205A">
        <w:rPr>
          <w:lang w:val="en-US"/>
        </w:rPr>
        <w:t>, are well developed. Despite some variation in the curves, this forest remains dominant throughout this long period.</w:t>
      </w:r>
    </w:p>
    <w:p w14:paraId="0146E29B" w14:textId="77777777" w:rsidR="00C97B39" w:rsidRDefault="00D2205A" w:rsidP="00D2205A">
      <w:pPr>
        <w:jc w:val="both"/>
        <w:rPr>
          <w:lang w:val="en-US"/>
        </w:rPr>
      </w:pPr>
      <w:r w:rsidRPr="00D2205A">
        <w:rPr>
          <w:lang w:val="en-US"/>
        </w:rPr>
        <w:t xml:space="preserve">At the end of the lacustrine phase (3350–3200 BP), </w:t>
      </w:r>
      <w:r w:rsidRPr="00C97B39">
        <w:rPr>
          <w:i/>
          <w:lang w:val="en-US"/>
        </w:rPr>
        <w:t>Fagus</w:t>
      </w:r>
      <w:r w:rsidRPr="00D2205A">
        <w:rPr>
          <w:lang w:val="en-US"/>
        </w:rPr>
        <w:t xml:space="preserve"> appears sporadically. Herbs are mainly represented by grasses (</w:t>
      </w:r>
      <w:proofErr w:type="spellStart"/>
      <w:r w:rsidRPr="00D2205A">
        <w:rPr>
          <w:lang w:val="en-US"/>
        </w:rPr>
        <w:t>Poaceae</w:t>
      </w:r>
      <w:proofErr w:type="spellEnd"/>
      <w:r w:rsidRPr="00D2205A">
        <w:rPr>
          <w:lang w:val="en-US"/>
        </w:rPr>
        <w:t xml:space="preserve">), Caryophyllaceae, and </w:t>
      </w:r>
      <w:r w:rsidRPr="00C97B39">
        <w:rPr>
          <w:i/>
          <w:lang w:val="en-US"/>
        </w:rPr>
        <w:t>Artemisia</w:t>
      </w:r>
      <w:r w:rsidRPr="00D2205A">
        <w:rPr>
          <w:lang w:val="en-US"/>
        </w:rPr>
        <w:t xml:space="preserve">. The end of this lake stage coincides with an increase in spores, and the appearance and continuous curve of </w:t>
      </w:r>
      <w:r w:rsidRPr="00C97B39">
        <w:rPr>
          <w:i/>
          <w:lang w:val="en-US"/>
        </w:rPr>
        <w:t>Sphagnum</w:t>
      </w:r>
      <w:r w:rsidRPr="00D2205A">
        <w:rPr>
          <w:lang w:val="en-US"/>
        </w:rPr>
        <w:t xml:space="preserve"> and </w:t>
      </w:r>
      <w:proofErr w:type="spellStart"/>
      <w:r w:rsidRPr="00C97B39">
        <w:rPr>
          <w:i/>
          <w:lang w:val="en-US"/>
        </w:rPr>
        <w:t>Bryophytomyces</w:t>
      </w:r>
      <w:proofErr w:type="spellEnd"/>
      <w:r w:rsidRPr="00D2205A">
        <w:rPr>
          <w:lang w:val="en-US"/>
        </w:rPr>
        <w:t xml:space="preserve"> </w:t>
      </w:r>
      <w:proofErr w:type="spellStart"/>
      <w:r w:rsidRPr="00C97B39">
        <w:rPr>
          <w:i/>
          <w:lang w:val="en-US"/>
        </w:rPr>
        <w:t>sphagnii</w:t>
      </w:r>
      <w:proofErr w:type="spellEnd"/>
      <w:r w:rsidRPr="00D2205A">
        <w:rPr>
          <w:lang w:val="en-US"/>
        </w:rPr>
        <w:t xml:space="preserve"> (HdV-27), a spore often correlated with the presence of Sphagnum, particularly </w:t>
      </w:r>
      <w:r w:rsidRPr="00C97B39">
        <w:rPr>
          <w:i/>
          <w:lang w:val="en-US"/>
        </w:rPr>
        <w:t>Sphagnum</w:t>
      </w:r>
      <w:r w:rsidRPr="00D2205A">
        <w:rPr>
          <w:lang w:val="en-US"/>
        </w:rPr>
        <w:t xml:space="preserve"> </w:t>
      </w:r>
      <w:proofErr w:type="spellStart"/>
      <w:r w:rsidRPr="00C97B39">
        <w:rPr>
          <w:i/>
          <w:lang w:val="en-US"/>
        </w:rPr>
        <w:t>cuspidatum</w:t>
      </w:r>
      <w:proofErr w:type="spellEnd"/>
      <w:r w:rsidRPr="00D2205A">
        <w:rPr>
          <w:lang w:val="en-US"/>
        </w:rPr>
        <w:t xml:space="preserve"> (van Geel, 1978). During the fen stage (3080–2870 BP), the large quantity of spores (monolete and trilete) is also associated with poor preservation of pollen content. As spores are more resistant to oxidation (Lebreton et al. 2010), this increase could be related to taphonomic issues during this fen stage. An increase in sedge (Cyperaceae) also suggests a lowering of the water level and the development of vegetation along the shore. The bog stage does not show significant vegetation before 950 BP. However, from 1750 BP, </w:t>
      </w:r>
      <w:r w:rsidRPr="00C97B39">
        <w:rPr>
          <w:i/>
          <w:lang w:val="en-US"/>
        </w:rPr>
        <w:t>Picea</w:t>
      </w:r>
      <w:r w:rsidRPr="00D2205A">
        <w:rPr>
          <w:lang w:val="en-US"/>
        </w:rPr>
        <w:t>, and subsequently the mixed forest, begin to decline.</w:t>
      </w:r>
    </w:p>
    <w:p w14:paraId="176FF701" w14:textId="77777777" w:rsidR="00B30D11" w:rsidRDefault="00884B35" w:rsidP="00D2205A">
      <w:pPr>
        <w:jc w:val="both"/>
        <w:rPr>
          <w:lang w:val="en-US"/>
        </w:rPr>
      </w:pPr>
      <w:r>
        <w:rPr>
          <w:lang w:val="en-US"/>
        </w:rPr>
        <w:t>2.4. The disappearance of the mixed oak forest and landscape opening (</w:t>
      </w:r>
      <w:r w:rsidR="00B30D11">
        <w:rPr>
          <w:lang w:val="en-US"/>
        </w:rPr>
        <w:t>T4</w:t>
      </w:r>
      <w:r>
        <w:rPr>
          <w:lang w:val="en-US"/>
        </w:rPr>
        <w:t>:</w:t>
      </w:r>
      <w:r w:rsidR="00337105">
        <w:rPr>
          <w:lang w:val="en-US"/>
        </w:rPr>
        <w:t xml:space="preserve"> 78-0 cm, from 950 BP)</w:t>
      </w:r>
    </w:p>
    <w:p w14:paraId="3D6398A9" w14:textId="77777777" w:rsidR="00D2205A" w:rsidRDefault="00D2205A" w:rsidP="00235703">
      <w:pPr>
        <w:jc w:val="both"/>
        <w:rPr>
          <w:lang w:val="en-US"/>
        </w:rPr>
      </w:pPr>
      <w:r w:rsidRPr="00D2205A">
        <w:rPr>
          <w:lang w:val="en-US"/>
        </w:rPr>
        <w:t xml:space="preserve">The period includes the end of the bog stage and the degraded bog stage. Forest clearance coincides with an increase in anthropogenic indicators. The mixed oak forest and Corylus almost disappeared. The peatland is also affected by drying, which enables the expansion of Ericaceae, and more specifically, </w:t>
      </w:r>
      <w:r w:rsidRPr="00D2205A">
        <w:rPr>
          <w:i/>
          <w:lang w:val="en-US"/>
        </w:rPr>
        <w:t>Calluna vulgaris</w:t>
      </w:r>
      <w:r w:rsidRPr="00D2205A">
        <w:rPr>
          <w:lang w:val="en-US"/>
        </w:rPr>
        <w:t xml:space="preserve">. A peak in </w:t>
      </w:r>
      <w:proofErr w:type="spellStart"/>
      <w:r w:rsidRPr="00D2205A">
        <w:rPr>
          <w:lang w:val="en-US"/>
        </w:rPr>
        <w:t>Gelasinospora</w:t>
      </w:r>
      <w:proofErr w:type="spellEnd"/>
      <w:r w:rsidRPr="00D2205A">
        <w:rPr>
          <w:lang w:val="en-US"/>
        </w:rPr>
        <w:t xml:space="preserve"> (HdV-01), a </w:t>
      </w:r>
      <w:proofErr w:type="spellStart"/>
      <w:r w:rsidRPr="00D2205A">
        <w:rPr>
          <w:lang w:val="en-US"/>
        </w:rPr>
        <w:t>carbonicolous</w:t>
      </w:r>
      <w:proofErr w:type="spellEnd"/>
      <w:r w:rsidRPr="00D2205A">
        <w:rPr>
          <w:lang w:val="en-US"/>
        </w:rPr>
        <w:t xml:space="preserve"> taxon, around 1650 AD, suggests a local fire event. During the last three centuries, a decline in human indicators and ruderal species suggests reduced impact on the studied area and a cessation or substantial limitation of agricultural activities; </w:t>
      </w:r>
      <w:r w:rsidRPr="00D2205A">
        <w:rPr>
          <w:i/>
          <w:lang w:val="en-US"/>
        </w:rPr>
        <w:t>Pinus</w:t>
      </w:r>
      <w:r w:rsidRPr="00D2205A">
        <w:rPr>
          <w:lang w:val="en-US"/>
        </w:rPr>
        <w:t xml:space="preserve"> becomes more abundant.</w:t>
      </w:r>
    </w:p>
    <w:p w14:paraId="30E472AF" w14:textId="77777777" w:rsidR="00C72206" w:rsidRPr="00337105" w:rsidRDefault="00C72206" w:rsidP="00235703">
      <w:pPr>
        <w:jc w:val="both"/>
        <w:rPr>
          <w:b/>
          <w:sz w:val="24"/>
          <w:szCs w:val="24"/>
          <w:lang w:val="en-US"/>
        </w:rPr>
      </w:pPr>
      <w:r w:rsidRPr="00337105">
        <w:rPr>
          <w:b/>
          <w:sz w:val="24"/>
          <w:szCs w:val="24"/>
          <w:lang w:val="en-US"/>
        </w:rPr>
        <w:t xml:space="preserve">3. Human impact and herbivores presence. </w:t>
      </w:r>
    </w:p>
    <w:p w14:paraId="4710794B" w14:textId="77777777" w:rsidR="00D2205A" w:rsidRDefault="00D2205A" w:rsidP="00C8689F">
      <w:pPr>
        <w:jc w:val="both"/>
        <w:rPr>
          <w:lang w:val="en-US"/>
        </w:rPr>
      </w:pPr>
      <w:r w:rsidRPr="00D2205A">
        <w:rPr>
          <w:lang w:val="en-US"/>
        </w:rPr>
        <w:t xml:space="preserve">Beyond vegetation history, the aim of this study was to </w:t>
      </w:r>
      <w:proofErr w:type="spellStart"/>
      <w:r w:rsidRPr="00D2205A">
        <w:rPr>
          <w:lang w:val="en-US"/>
        </w:rPr>
        <w:t>characterise</w:t>
      </w:r>
      <w:proofErr w:type="spellEnd"/>
      <w:r w:rsidRPr="00D2205A">
        <w:rPr>
          <w:lang w:val="en-US"/>
        </w:rPr>
        <w:t xml:space="preserve"> the environment of past societies that lived in this region. Human impact on vegetation is visible through anthropogenic indicators. These markers are represented by taxa linked to human activities, especially the development of farming and the appearance of </w:t>
      </w:r>
      <w:proofErr w:type="spellStart"/>
      <w:r w:rsidRPr="00D2205A">
        <w:rPr>
          <w:lang w:val="en-US"/>
        </w:rPr>
        <w:t>anthropocores</w:t>
      </w:r>
      <w:proofErr w:type="spellEnd"/>
      <w:r w:rsidRPr="00D2205A">
        <w:rPr>
          <w:lang w:val="en-US"/>
        </w:rPr>
        <w:t xml:space="preserve"> (non-indigenous plants</w:t>
      </w:r>
      <w:r>
        <w:rPr>
          <w:lang w:val="en-US"/>
        </w:rPr>
        <w:t xml:space="preserve">, </w:t>
      </w:r>
      <w:proofErr w:type="spellStart"/>
      <w:r>
        <w:rPr>
          <w:lang w:val="en-US"/>
        </w:rPr>
        <w:t>eg.</w:t>
      </w:r>
      <w:proofErr w:type="spellEnd"/>
      <w:r>
        <w:rPr>
          <w:lang w:val="en-US"/>
        </w:rPr>
        <w:t xml:space="preserve"> </w:t>
      </w:r>
      <w:r w:rsidRPr="00D2205A">
        <w:rPr>
          <w:i/>
          <w:lang w:val="en-US"/>
        </w:rPr>
        <w:t>Cerealia</w:t>
      </w:r>
      <w:r>
        <w:rPr>
          <w:lang w:val="en-US"/>
        </w:rPr>
        <w:t xml:space="preserve">-type, </w:t>
      </w:r>
      <w:r w:rsidRPr="00D2205A">
        <w:rPr>
          <w:i/>
          <w:lang w:val="en-US"/>
        </w:rPr>
        <w:t>Plantago</w:t>
      </w:r>
      <w:r>
        <w:rPr>
          <w:lang w:val="en-US"/>
        </w:rPr>
        <w:t xml:space="preserve"> </w:t>
      </w:r>
      <w:proofErr w:type="spellStart"/>
      <w:r w:rsidRPr="00D2205A">
        <w:rPr>
          <w:i/>
          <w:lang w:val="en-US"/>
        </w:rPr>
        <w:t>lanceolat</w:t>
      </w:r>
      <w:r>
        <w:rPr>
          <w:i/>
          <w:lang w:val="en-US"/>
        </w:rPr>
        <w:t>q</w:t>
      </w:r>
      <w:proofErr w:type="spellEnd"/>
      <w:r>
        <w:rPr>
          <w:lang w:val="en-US"/>
        </w:rPr>
        <w:t>…</w:t>
      </w:r>
      <w:r w:rsidRPr="00D2205A">
        <w:rPr>
          <w:lang w:val="en-US"/>
        </w:rPr>
        <w:t xml:space="preserve">) and </w:t>
      </w:r>
      <w:proofErr w:type="spellStart"/>
      <w:r w:rsidRPr="00D2205A">
        <w:rPr>
          <w:lang w:val="en-US"/>
        </w:rPr>
        <w:t>apophytes</w:t>
      </w:r>
      <w:proofErr w:type="spellEnd"/>
      <w:r w:rsidRPr="00D2205A">
        <w:rPr>
          <w:lang w:val="en-US"/>
        </w:rPr>
        <w:t xml:space="preserve"> (local plants </w:t>
      </w:r>
      <w:proofErr w:type="spellStart"/>
      <w:r w:rsidRPr="00D2205A">
        <w:rPr>
          <w:lang w:val="en-US"/>
        </w:rPr>
        <w:t>favoured</w:t>
      </w:r>
      <w:proofErr w:type="spellEnd"/>
      <w:r w:rsidRPr="00D2205A">
        <w:rPr>
          <w:lang w:val="en-US"/>
        </w:rPr>
        <w:t xml:space="preserve"> by human activities</w:t>
      </w:r>
      <w:r>
        <w:rPr>
          <w:lang w:val="en-US"/>
        </w:rPr>
        <w:t xml:space="preserve"> and landscape opening, </w:t>
      </w:r>
      <w:proofErr w:type="spellStart"/>
      <w:r>
        <w:rPr>
          <w:lang w:val="en-US"/>
        </w:rPr>
        <w:t>eg.</w:t>
      </w:r>
      <w:proofErr w:type="spellEnd"/>
      <w:r>
        <w:rPr>
          <w:lang w:val="en-US"/>
        </w:rPr>
        <w:t xml:space="preserve"> </w:t>
      </w:r>
      <w:r w:rsidRPr="00D2205A">
        <w:rPr>
          <w:i/>
          <w:lang w:val="en-US"/>
        </w:rPr>
        <w:t xml:space="preserve">Rumex </w:t>
      </w:r>
      <w:proofErr w:type="spellStart"/>
      <w:r w:rsidRPr="00D2205A">
        <w:rPr>
          <w:i/>
          <w:lang w:val="en-US"/>
        </w:rPr>
        <w:t>acetosa</w:t>
      </w:r>
      <w:proofErr w:type="spellEnd"/>
      <w:r>
        <w:rPr>
          <w:lang w:val="en-US"/>
        </w:rPr>
        <w:t xml:space="preserve">-type, </w:t>
      </w:r>
      <w:r w:rsidRPr="00D2205A">
        <w:rPr>
          <w:i/>
          <w:lang w:val="en-US"/>
        </w:rPr>
        <w:t>Artemisia</w:t>
      </w:r>
      <w:r w:rsidRPr="00D2205A">
        <w:rPr>
          <w:lang w:val="en-US"/>
        </w:rPr>
        <w:t>), as demonstrated by Behre (1981). Among these markers, coprophilous fungal spores (van Geel and Aptroot, 2006; Gauthier and Jouffroy-</w:t>
      </w:r>
      <w:proofErr w:type="spellStart"/>
      <w:r w:rsidRPr="00D2205A">
        <w:rPr>
          <w:lang w:val="en-US"/>
        </w:rPr>
        <w:t>Bapicot</w:t>
      </w:r>
      <w:proofErr w:type="spellEnd"/>
      <w:r w:rsidRPr="00D2205A">
        <w:rPr>
          <w:lang w:val="en-US"/>
        </w:rPr>
        <w:t>, 2021) are good indicators of the presence of herbivores (wild and domestic).</w:t>
      </w:r>
    </w:p>
    <w:p w14:paraId="5E0A044B" w14:textId="77777777" w:rsidR="00884B35" w:rsidRDefault="00884B35" w:rsidP="00C8689F">
      <w:pPr>
        <w:jc w:val="both"/>
        <w:rPr>
          <w:lang w:val="en-US"/>
        </w:rPr>
      </w:pPr>
      <w:r>
        <w:rPr>
          <w:lang w:val="en-US"/>
        </w:rPr>
        <w:t xml:space="preserve">3.1. The last remnant of the glacial megafauna. </w:t>
      </w:r>
    </w:p>
    <w:p w14:paraId="4153871D" w14:textId="77777777" w:rsidR="00D2205A" w:rsidRDefault="00D2205A" w:rsidP="00C8689F">
      <w:pPr>
        <w:jc w:val="both"/>
        <w:rPr>
          <w:lang w:val="en-US"/>
        </w:rPr>
      </w:pPr>
      <w:r w:rsidRPr="00D2205A">
        <w:rPr>
          <w:lang w:val="en-US"/>
        </w:rPr>
        <w:t xml:space="preserve">In the </w:t>
      </w:r>
      <w:proofErr w:type="spellStart"/>
      <w:r w:rsidRPr="00D2205A">
        <w:rPr>
          <w:lang w:val="en-US"/>
        </w:rPr>
        <w:t>Serteya</w:t>
      </w:r>
      <w:proofErr w:type="spellEnd"/>
      <w:r w:rsidRPr="00D2205A">
        <w:rPr>
          <w:lang w:val="en-US"/>
        </w:rPr>
        <w:t xml:space="preserve"> kettle hole sequence, human impact is difficult to detect before 200 AD. However, there is evidence of herbivore presence from the base of the sequence. A brief event, dated to between approximately 13,020 and 12,850 cal. BP, shows a sudden increase in coprophilous and </w:t>
      </w:r>
      <w:proofErr w:type="spellStart"/>
      <w:r w:rsidRPr="00D2205A">
        <w:rPr>
          <w:lang w:val="en-US"/>
        </w:rPr>
        <w:t>saprophilous</w:t>
      </w:r>
      <w:proofErr w:type="spellEnd"/>
      <w:r w:rsidRPr="00D2205A">
        <w:rPr>
          <w:lang w:val="en-US"/>
        </w:rPr>
        <w:t xml:space="preserve"> fungal spores, mycorrhizal fungi, and a very high content of organic matter, biophilic, and lithophilic </w:t>
      </w:r>
      <w:r w:rsidRPr="00D2205A">
        <w:rPr>
          <w:lang w:val="en-US"/>
        </w:rPr>
        <w:lastRenderedPageBreak/>
        <w:t>elements. The increase in organic matter, together with the peak in percentages and influx of fungal spores, probably reflects allochthonous (erosive) input to the lake at around 13,020 cal. BP (Gauthier et al. 2025). Although the presence of coprophilous fungal spores is associated with this event, it demonstrates that these spores, which disperse poorly, are present in the environment and indicate the presence of wild herbivores, possibly the last representatives of the glacial megafauna.</w:t>
      </w:r>
    </w:p>
    <w:p w14:paraId="3C734385" w14:textId="77777777" w:rsidR="00884B35" w:rsidRDefault="00884B35" w:rsidP="00C8689F">
      <w:pPr>
        <w:jc w:val="both"/>
        <w:rPr>
          <w:lang w:val="en-US"/>
        </w:rPr>
      </w:pPr>
      <w:r>
        <w:rPr>
          <w:lang w:val="en-US"/>
        </w:rPr>
        <w:t xml:space="preserve">3.2. </w:t>
      </w:r>
      <w:r w:rsidR="00D2205A">
        <w:rPr>
          <w:lang w:val="en-US"/>
        </w:rPr>
        <w:t>No evidence of farming activities</w:t>
      </w:r>
      <w:r w:rsidR="00F43396">
        <w:rPr>
          <w:lang w:val="en-US"/>
        </w:rPr>
        <w:t>?</w:t>
      </w:r>
    </w:p>
    <w:p w14:paraId="2CF212F2" w14:textId="77777777" w:rsidR="00D2205A" w:rsidRDefault="00D2205A" w:rsidP="00C8689F">
      <w:pPr>
        <w:jc w:val="both"/>
        <w:rPr>
          <w:lang w:val="en-US"/>
        </w:rPr>
      </w:pPr>
      <w:r w:rsidRPr="00D2205A">
        <w:rPr>
          <w:lang w:val="en-US"/>
        </w:rPr>
        <w:t xml:space="preserve">Early Neolithic immigration may have begun around 6000 BC, while southern Eneolithic steppe cultures are dated to the fifth to fourth millennia BC. The most prominent evidence for the Neolithic in the </w:t>
      </w:r>
      <w:proofErr w:type="spellStart"/>
      <w:r w:rsidRPr="00D2205A">
        <w:rPr>
          <w:lang w:val="en-US"/>
        </w:rPr>
        <w:t>Serteya</w:t>
      </w:r>
      <w:proofErr w:type="spellEnd"/>
      <w:r w:rsidRPr="00D2205A">
        <w:rPr>
          <w:lang w:val="en-US"/>
        </w:rPr>
        <w:t xml:space="preserve"> region, however, comes from well-preserved pile-dwelling settlements found within lacustrine deposits and dated to the third millennium BC (Mazurkevich et al. 2009). There is no evidence of farming activity during this period; however, some decrease in the </w:t>
      </w:r>
      <w:r w:rsidRPr="00D2205A">
        <w:rPr>
          <w:i/>
          <w:lang w:val="en-US"/>
        </w:rPr>
        <w:t>Picea</w:t>
      </w:r>
      <w:r w:rsidRPr="00D2205A">
        <w:rPr>
          <w:lang w:val="en-US"/>
        </w:rPr>
        <w:t xml:space="preserve"> or </w:t>
      </w:r>
      <w:r w:rsidRPr="00D2205A">
        <w:rPr>
          <w:i/>
          <w:lang w:val="en-US"/>
        </w:rPr>
        <w:t>Betula</w:t>
      </w:r>
      <w:r w:rsidRPr="00D2205A">
        <w:rPr>
          <w:lang w:val="en-US"/>
        </w:rPr>
        <w:t xml:space="preserve"> curves could indicate possible clearance linked to human activities and/or fire events. For instance, there is a sudden drop in </w:t>
      </w:r>
      <w:r w:rsidRPr="00D2205A">
        <w:rPr>
          <w:i/>
          <w:lang w:val="en-US"/>
        </w:rPr>
        <w:t>Picea</w:t>
      </w:r>
      <w:r w:rsidRPr="00D2205A">
        <w:rPr>
          <w:lang w:val="en-US"/>
        </w:rPr>
        <w:t xml:space="preserve"> at around 5000 BP, 3250 BP, 300 BC, and from 200 AD. These phases of decrease in </w:t>
      </w:r>
      <w:r w:rsidRPr="00D2205A">
        <w:rPr>
          <w:i/>
          <w:lang w:val="en-US"/>
        </w:rPr>
        <w:t>Picea</w:t>
      </w:r>
      <w:r w:rsidRPr="00D2205A">
        <w:rPr>
          <w:lang w:val="en-US"/>
        </w:rPr>
        <w:t xml:space="preserve"> percentage coincide with increases in Betula, but without significant expansion of herbs or, especially, anthropogenic indicators. Coprophilous fungal spores provide little information, even though obligate coprophilous fungi such as </w:t>
      </w:r>
      <w:proofErr w:type="spellStart"/>
      <w:r w:rsidRPr="00D2205A">
        <w:rPr>
          <w:i/>
          <w:lang w:val="en-US"/>
        </w:rPr>
        <w:t>Sporormiella</w:t>
      </w:r>
      <w:proofErr w:type="spellEnd"/>
      <w:r w:rsidRPr="00D2205A">
        <w:rPr>
          <w:lang w:val="en-US"/>
        </w:rPr>
        <w:t xml:space="preserve"> occur sporadically. The only signal of a more regular impact starts at 200 BC with, in addition to the </w:t>
      </w:r>
      <w:r w:rsidRPr="00D2205A">
        <w:rPr>
          <w:i/>
          <w:lang w:val="en-US"/>
        </w:rPr>
        <w:t>Picea</w:t>
      </w:r>
      <w:r w:rsidRPr="00D2205A">
        <w:rPr>
          <w:lang w:val="en-US"/>
        </w:rPr>
        <w:t xml:space="preserve"> drop, regular occurrences of </w:t>
      </w:r>
      <w:r w:rsidRPr="00D2205A">
        <w:rPr>
          <w:i/>
          <w:lang w:val="en-US"/>
        </w:rPr>
        <w:t>Rumex</w:t>
      </w:r>
      <w:r w:rsidRPr="00D2205A">
        <w:rPr>
          <w:lang w:val="en-US"/>
        </w:rPr>
        <w:t xml:space="preserve"> </w:t>
      </w:r>
      <w:proofErr w:type="spellStart"/>
      <w:r w:rsidRPr="00D2205A">
        <w:rPr>
          <w:i/>
          <w:lang w:val="en-US"/>
        </w:rPr>
        <w:t>acetosa</w:t>
      </w:r>
      <w:proofErr w:type="spellEnd"/>
      <w:r w:rsidRPr="00D2205A">
        <w:rPr>
          <w:lang w:val="en-US"/>
        </w:rPr>
        <w:t xml:space="preserve">-type, suggesting human activities. Given that settlements are known in this area, we can argue that the small size of the kettle hole catchment and the dense forest cover have masked the pollen transport of anthropogenic indicators. Cultivated plants (i.e. </w:t>
      </w:r>
      <w:r w:rsidRPr="00D2205A">
        <w:rPr>
          <w:i/>
          <w:lang w:val="en-US"/>
        </w:rPr>
        <w:t>Cerealia</w:t>
      </w:r>
      <w:r w:rsidRPr="00D2205A">
        <w:rPr>
          <w:lang w:val="en-US"/>
        </w:rPr>
        <w:t>-type) produce very few pollen grains and their pollen is weakly dispersed.</w:t>
      </w:r>
    </w:p>
    <w:p w14:paraId="5DCD8848" w14:textId="77777777" w:rsidR="00F43396" w:rsidRPr="00D912B4" w:rsidRDefault="00F43396" w:rsidP="00C8689F">
      <w:pPr>
        <w:jc w:val="both"/>
        <w:rPr>
          <w:lang w:val="en-US"/>
        </w:rPr>
      </w:pPr>
      <w:r>
        <w:rPr>
          <w:lang w:val="en-US"/>
        </w:rPr>
        <w:t xml:space="preserve">3.4. </w:t>
      </w:r>
      <w:r w:rsidR="006811D3">
        <w:rPr>
          <w:lang w:val="en-US"/>
        </w:rPr>
        <w:t>From increasing to decreasing impact during the last millennium</w:t>
      </w:r>
      <w:r>
        <w:rPr>
          <w:lang w:val="en-US"/>
        </w:rPr>
        <w:t xml:space="preserve">. </w:t>
      </w:r>
    </w:p>
    <w:p w14:paraId="30F21F1A" w14:textId="77777777" w:rsidR="007872C4" w:rsidRDefault="00D2205A" w:rsidP="00D2205A">
      <w:pPr>
        <w:jc w:val="both"/>
        <w:rPr>
          <w:lang w:val="en-US"/>
        </w:rPr>
      </w:pPr>
      <w:r w:rsidRPr="00D2205A">
        <w:rPr>
          <w:lang w:val="en-US"/>
        </w:rPr>
        <w:t xml:space="preserve">From 900 BP, human impact appears closer to the peatland, and deforestation begins. The pollen diagram shows that around 1400 AD there is a marked decrease in </w:t>
      </w:r>
      <w:r w:rsidRPr="00D2205A">
        <w:rPr>
          <w:i/>
          <w:lang w:val="en-US"/>
        </w:rPr>
        <w:t>Picea</w:t>
      </w:r>
      <w:r w:rsidRPr="00D2205A">
        <w:rPr>
          <w:lang w:val="en-US"/>
        </w:rPr>
        <w:t xml:space="preserve"> and </w:t>
      </w:r>
      <w:r w:rsidRPr="00D2205A">
        <w:rPr>
          <w:i/>
          <w:lang w:val="en-US"/>
        </w:rPr>
        <w:t>Pinus</w:t>
      </w:r>
      <w:r w:rsidRPr="00D2205A">
        <w:rPr>
          <w:lang w:val="en-US"/>
        </w:rPr>
        <w:t xml:space="preserve"> pollen and an increase in </w:t>
      </w:r>
      <w:r w:rsidRPr="00D2205A">
        <w:rPr>
          <w:i/>
          <w:lang w:val="en-US"/>
        </w:rPr>
        <w:t>Betula</w:t>
      </w:r>
      <w:r w:rsidRPr="00D2205A">
        <w:rPr>
          <w:lang w:val="en-US"/>
        </w:rPr>
        <w:t>. At the same time, cultivated plants, arable weeds, and epiphytes also appear (</w:t>
      </w:r>
      <w:r w:rsidRPr="00D2205A">
        <w:rPr>
          <w:i/>
          <w:lang w:val="en-US"/>
        </w:rPr>
        <w:t>Secale, Fagopyrum, Centaurea cyanus, Plantago lanceolata</w:t>
      </w:r>
      <w:r w:rsidRPr="00D2205A">
        <w:rPr>
          <w:lang w:val="en-US"/>
        </w:rPr>
        <w:t xml:space="preserve">), along with an increase in </w:t>
      </w:r>
      <w:r w:rsidRPr="00D2205A">
        <w:rPr>
          <w:i/>
          <w:lang w:val="en-US"/>
        </w:rPr>
        <w:t>Cerealia</w:t>
      </w:r>
      <w:r w:rsidRPr="00D2205A">
        <w:rPr>
          <w:lang w:val="en-US"/>
        </w:rPr>
        <w:t xml:space="preserve">-type, Cyperaceae, </w:t>
      </w:r>
      <w:proofErr w:type="spellStart"/>
      <w:r w:rsidRPr="00D2205A">
        <w:rPr>
          <w:lang w:val="en-US"/>
        </w:rPr>
        <w:t>Poaceae</w:t>
      </w:r>
      <w:proofErr w:type="spellEnd"/>
      <w:r w:rsidRPr="00D2205A">
        <w:rPr>
          <w:lang w:val="en-US"/>
        </w:rPr>
        <w:t xml:space="preserve">, </w:t>
      </w:r>
      <w:r w:rsidRPr="00D2205A">
        <w:rPr>
          <w:i/>
          <w:lang w:val="en-US"/>
        </w:rPr>
        <w:t>Rumex</w:t>
      </w:r>
      <w:r w:rsidRPr="00D2205A">
        <w:rPr>
          <w:lang w:val="en-US"/>
        </w:rPr>
        <w:t xml:space="preserve"> </w:t>
      </w:r>
      <w:proofErr w:type="spellStart"/>
      <w:r w:rsidRPr="00D2205A">
        <w:rPr>
          <w:i/>
          <w:lang w:val="en-US"/>
        </w:rPr>
        <w:t>acetosa</w:t>
      </w:r>
      <w:proofErr w:type="spellEnd"/>
      <w:r w:rsidRPr="00D2205A">
        <w:rPr>
          <w:lang w:val="en-US"/>
        </w:rPr>
        <w:t xml:space="preserve">-type, and </w:t>
      </w:r>
      <w:r w:rsidRPr="00D2205A">
        <w:rPr>
          <w:i/>
          <w:lang w:val="en-US"/>
        </w:rPr>
        <w:t>Artemisia</w:t>
      </w:r>
      <w:r w:rsidRPr="00D2205A">
        <w:rPr>
          <w:lang w:val="en-US"/>
        </w:rPr>
        <w:t>, indicating increased agricultural activities and deforestation in the area</w:t>
      </w:r>
      <w:r w:rsidR="00C97B39">
        <w:rPr>
          <w:lang w:val="en-US"/>
        </w:rPr>
        <w:t xml:space="preserve"> (</w:t>
      </w:r>
      <w:r w:rsidR="00C97B39" w:rsidRPr="00C97B39">
        <w:rPr>
          <w:lang w:val="en-US"/>
        </w:rPr>
        <w:t>Mroczkowska</w:t>
      </w:r>
      <w:r w:rsidR="00C97B39">
        <w:rPr>
          <w:lang w:val="en-US"/>
        </w:rPr>
        <w:t xml:space="preserve"> et al. 2021)</w:t>
      </w:r>
      <w:r w:rsidRPr="00D2205A">
        <w:rPr>
          <w:lang w:val="en-US"/>
        </w:rPr>
        <w:t xml:space="preserve">. The results of pollen analysis show that from 250 BP, there is a local decrease in cultivated plants, which are replaced by ruderal species such as </w:t>
      </w:r>
      <w:r w:rsidRPr="00D2205A">
        <w:rPr>
          <w:i/>
          <w:lang w:val="en-US"/>
        </w:rPr>
        <w:t xml:space="preserve">P. lanceolata, R. </w:t>
      </w:r>
      <w:proofErr w:type="spellStart"/>
      <w:r w:rsidRPr="00D2205A">
        <w:rPr>
          <w:i/>
          <w:lang w:val="en-US"/>
        </w:rPr>
        <w:t>acetosa</w:t>
      </w:r>
      <w:proofErr w:type="spellEnd"/>
      <w:r w:rsidRPr="00D2205A">
        <w:rPr>
          <w:i/>
          <w:lang w:val="en-US"/>
        </w:rPr>
        <w:t>-type, Artemisia</w:t>
      </w:r>
      <w:r w:rsidRPr="00D2205A">
        <w:rPr>
          <w:lang w:val="en-US"/>
        </w:rPr>
        <w:t>, Chenopodiaceae, and Urticaceae. Coprophilous fungi (</w:t>
      </w:r>
      <w:proofErr w:type="spellStart"/>
      <w:r w:rsidRPr="00D2205A">
        <w:rPr>
          <w:i/>
          <w:lang w:val="en-US"/>
        </w:rPr>
        <w:t>Sporormiella</w:t>
      </w:r>
      <w:proofErr w:type="spellEnd"/>
      <w:r w:rsidRPr="00D2205A">
        <w:rPr>
          <w:lang w:val="en-US"/>
        </w:rPr>
        <w:t xml:space="preserve">, </w:t>
      </w:r>
      <w:proofErr w:type="spellStart"/>
      <w:r w:rsidRPr="00D2205A">
        <w:rPr>
          <w:i/>
          <w:lang w:val="en-US"/>
        </w:rPr>
        <w:t>Podospora</w:t>
      </w:r>
      <w:proofErr w:type="spellEnd"/>
      <w:r w:rsidRPr="00D2205A">
        <w:rPr>
          <w:lang w:val="en-US"/>
        </w:rPr>
        <w:t xml:space="preserve">, </w:t>
      </w:r>
      <w:proofErr w:type="spellStart"/>
      <w:r w:rsidRPr="00D2205A">
        <w:rPr>
          <w:i/>
          <w:lang w:val="en-US"/>
        </w:rPr>
        <w:t>Cercophora</w:t>
      </w:r>
      <w:proofErr w:type="spellEnd"/>
      <w:r w:rsidRPr="00D2205A">
        <w:rPr>
          <w:lang w:val="en-US"/>
        </w:rPr>
        <w:t>) occur more frequently, suggesting close grazing activities.</w:t>
      </w:r>
    </w:p>
    <w:p w14:paraId="53A00654" w14:textId="77777777" w:rsidR="00C97B39" w:rsidRDefault="00C97B39" w:rsidP="00D2205A">
      <w:pPr>
        <w:jc w:val="both"/>
        <w:rPr>
          <w:lang w:val="en-US"/>
        </w:rPr>
      </w:pPr>
    </w:p>
    <w:p w14:paraId="3D1FB535" w14:textId="77777777" w:rsidR="005D09AC" w:rsidRDefault="005D09AC" w:rsidP="005D09AC">
      <w:pPr>
        <w:rPr>
          <w:lang w:val="en-US"/>
        </w:rPr>
      </w:pPr>
      <w:r w:rsidRPr="005D09AC">
        <w:rPr>
          <w:lang w:val="en-US"/>
        </w:rPr>
        <w:t>Baker AG, Bhagwat SA and Willis KJ (2013). Do dung fungal</w:t>
      </w:r>
      <w:r>
        <w:rPr>
          <w:lang w:val="en-US"/>
        </w:rPr>
        <w:t xml:space="preserve"> </w:t>
      </w:r>
      <w:r w:rsidRPr="005D09AC">
        <w:rPr>
          <w:lang w:val="en-US"/>
        </w:rPr>
        <w:t>spores make a good proxy for past distribution of large herbivores? Quaternary Science Reviews 62: 21–31</w:t>
      </w:r>
    </w:p>
    <w:p w14:paraId="0477934A" w14:textId="77777777" w:rsidR="006F2DC8" w:rsidRPr="00A17300" w:rsidRDefault="006F2DC8" w:rsidP="00C97B39">
      <w:pPr>
        <w:rPr>
          <w:lang w:val="de-DE"/>
        </w:rPr>
      </w:pPr>
      <w:r w:rsidRPr="006F2DC8">
        <w:rPr>
          <w:lang w:val="en-US"/>
        </w:rPr>
        <w:t xml:space="preserve">Behre K-E (1981) The interpretation of anthropogenic indicators in pollen diagrams. </w:t>
      </w:r>
      <w:r w:rsidRPr="00A17300">
        <w:rPr>
          <w:lang w:val="de-DE"/>
        </w:rPr>
        <w:t xml:space="preserve">Pollen Spores 23:225–245 </w:t>
      </w:r>
    </w:p>
    <w:p w14:paraId="7A5A39F9" w14:textId="77777777" w:rsidR="005D09AC" w:rsidRPr="00C97B39" w:rsidRDefault="005D09AC" w:rsidP="00C97B39">
      <w:pPr>
        <w:rPr>
          <w:lang w:val="en-US"/>
        </w:rPr>
      </w:pPr>
      <w:r w:rsidRPr="00A17300">
        <w:rPr>
          <w:lang w:val="de-DE"/>
        </w:rPr>
        <w:t xml:space="preserve">Beug HJ (2004) Leitfaden der Pollenbestimmung Für Mitteleuropa und Angrenzende Gebiete. </w:t>
      </w:r>
      <w:r w:rsidRPr="00C97B39">
        <w:rPr>
          <w:lang w:val="en-US"/>
        </w:rPr>
        <w:t>München: Verlag Dr.</w:t>
      </w:r>
      <w:r>
        <w:rPr>
          <w:lang w:val="en-US"/>
        </w:rPr>
        <w:t xml:space="preserve"> </w:t>
      </w:r>
      <w:r w:rsidRPr="00C97B39">
        <w:rPr>
          <w:lang w:val="en-US"/>
        </w:rPr>
        <w:t>Friedrich Pfeil.</w:t>
      </w:r>
    </w:p>
    <w:p w14:paraId="726EF938" w14:textId="77777777" w:rsidR="005D09AC" w:rsidRPr="005D09AC" w:rsidRDefault="005D09AC" w:rsidP="005D09AC">
      <w:pPr>
        <w:rPr>
          <w:lang w:val="en-US"/>
        </w:rPr>
      </w:pPr>
      <w:proofErr w:type="spellStart"/>
      <w:r w:rsidRPr="005D09AC">
        <w:rPr>
          <w:lang w:val="en-US"/>
        </w:rPr>
        <w:t>Cugny</w:t>
      </w:r>
      <w:proofErr w:type="spellEnd"/>
      <w:r w:rsidRPr="005D09AC">
        <w:rPr>
          <w:lang w:val="en-US"/>
        </w:rPr>
        <w:t xml:space="preserve"> C, Mazier F and Galop D (2010) Modern and fossil nonpollen palynomorphs from the Basque mountains (western</w:t>
      </w:r>
      <w:r>
        <w:rPr>
          <w:lang w:val="en-US"/>
        </w:rPr>
        <w:t xml:space="preserve"> </w:t>
      </w:r>
      <w:r w:rsidRPr="005D09AC">
        <w:rPr>
          <w:lang w:val="en-US"/>
        </w:rPr>
        <w:t xml:space="preserve">Pyrenees, France): The use of coprophilous fungi to reconstruct pastoral activity. Vegetation History and </w:t>
      </w:r>
      <w:proofErr w:type="spellStart"/>
      <w:r w:rsidRPr="005D09AC">
        <w:rPr>
          <w:lang w:val="en-US"/>
        </w:rPr>
        <w:t>Archaeobotany</w:t>
      </w:r>
      <w:proofErr w:type="spellEnd"/>
      <w:r w:rsidRPr="005D09AC">
        <w:rPr>
          <w:lang w:val="en-US"/>
        </w:rPr>
        <w:t xml:space="preserve"> 19(5–6): 391–408.</w:t>
      </w:r>
    </w:p>
    <w:p w14:paraId="265BCB9C" w14:textId="77777777" w:rsidR="005D09AC" w:rsidRDefault="005D09AC" w:rsidP="005D09AC">
      <w:pPr>
        <w:rPr>
          <w:lang w:val="en-US"/>
        </w:rPr>
      </w:pPr>
      <w:proofErr w:type="spellStart"/>
      <w:r w:rsidRPr="005D09AC">
        <w:rPr>
          <w:lang w:val="en-US"/>
        </w:rPr>
        <w:lastRenderedPageBreak/>
        <w:t>Faegri</w:t>
      </w:r>
      <w:proofErr w:type="spellEnd"/>
      <w:r w:rsidRPr="005D09AC">
        <w:rPr>
          <w:lang w:val="en-US"/>
        </w:rPr>
        <w:t xml:space="preserve"> K and Iversen J (eds) (1989) Textbook of Pollen Analysis,</w:t>
      </w:r>
      <w:r>
        <w:rPr>
          <w:lang w:val="en-US"/>
        </w:rPr>
        <w:t xml:space="preserve"> </w:t>
      </w:r>
      <w:r w:rsidRPr="005D09AC">
        <w:rPr>
          <w:lang w:val="en-US"/>
        </w:rPr>
        <w:t xml:space="preserve">4th </w:t>
      </w:r>
      <w:proofErr w:type="spellStart"/>
      <w:r w:rsidRPr="005D09AC">
        <w:rPr>
          <w:lang w:val="en-US"/>
        </w:rPr>
        <w:t>edn</w:t>
      </w:r>
      <w:proofErr w:type="spellEnd"/>
      <w:r w:rsidRPr="005D09AC">
        <w:rPr>
          <w:lang w:val="en-US"/>
        </w:rPr>
        <w:t>. Chichester: John Wiley and Sons.</w:t>
      </w:r>
    </w:p>
    <w:p w14:paraId="2A9EF9AA" w14:textId="77777777" w:rsidR="006F2DC8" w:rsidRDefault="006F2DC8" w:rsidP="006F2DC8">
      <w:pPr>
        <w:rPr>
          <w:lang w:val="en-US"/>
        </w:rPr>
      </w:pPr>
      <w:r w:rsidRPr="006F2DC8">
        <w:rPr>
          <w:lang w:val="en-US"/>
        </w:rPr>
        <w:t>Gauthier E and Jouffroy-</w:t>
      </w:r>
      <w:proofErr w:type="spellStart"/>
      <w:r w:rsidRPr="006F2DC8">
        <w:rPr>
          <w:lang w:val="en-US"/>
        </w:rPr>
        <w:t>Bapicot</w:t>
      </w:r>
      <w:proofErr w:type="spellEnd"/>
      <w:r w:rsidRPr="006F2DC8">
        <w:rPr>
          <w:lang w:val="en-US"/>
        </w:rPr>
        <w:t xml:space="preserve"> I (2021) Detecting human</w:t>
      </w:r>
      <w:r>
        <w:rPr>
          <w:lang w:val="en-US"/>
        </w:rPr>
        <w:t xml:space="preserve"> </w:t>
      </w:r>
      <w:r w:rsidRPr="006F2DC8">
        <w:rPr>
          <w:lang w:val="en-US"/>
        </w:rPr>
        <w:t>impacts: Non-pollen palynomorphs as proxies for human</w:t>
      </w:r>
      <w:r>
        <w:rPr>
          <w:lang w:val="en-US"/>
        </w:rPr>
        <w:t xml:space="preserve"> </w:t>
      </w:r>
      <w:r w:rsidRPr="006F2DC8">
        <w:rPr>
          <w:lang w:val="en-US"/>
        </w:rPr>
        <w:t xml:space="preserve">impact on the environment. In: Marret F, O’Keefe J, </w:t>
      </w:r>
      <w:proofErr w:type="spellStart"/>
      <w:r w:rsidRPr="006F2DC8">
        <w:rPr>
          <w:lang w:val="en-US"/>
        </w:rPr>
        <w:t>Osterloff</w:t>
      </w:r>
      <w:proofErr w:type="spellEnd"/>
      <w:r w:rsidRPr="006F2DC8">
        <w:rPr>
          <w:lang w:val="en-US"/>
        </w:rPr>
        <w:t xml:space="preserve"> P</w:t>
      </w:r>
      <w:r>
        <w:rPr>
          <w:lang w:val="en-US"/>
        </w:rPr>
        <w:t xml:space="preserve"> </w:t>
      </w:r>
      <w:r w:rsidRPr="006F2DC8">
        <w:rPr>
          <w:lang w:val="en-US"/>
        </w:rPr>
        <w:t>et al. (eds) Applications of Non-Pollen Palynomorphs: From</w:t>
      </w:r>
      <w:r>
        <w:rPr>
          <w:lang w:val="en-US"/>
        </w:rPr>
        <w:t xml:space="preserve"> </w:t>
      </w:r>
      <w:proofErr w:type="spellStart"/>
      <w:r w:rsidRPr="006F2DC8">
        <w:rPr>
          <w:lang w:val="en-US"/>
        </w:rPr>
        <w:t>Palaeoenvironmental</w:t>
      </w:r>
      <w:proofErr w:type="spellEnd"/>
      <w:r w:rsidRPr="006F2DC8">
        <w:rPr>
          <w:lang w:val="en-US"/>
        </w:rPr>
        <w:t xml:space="preserve"> Reconstructions to Biostratigraphy.</w:t>
      </w:r>
      <w:r>
        <w:rPr>
          <w:lang w:val="en-US"/>
        </w:rPr>
        <w:t xml:space="preserve"> </w:t>
      </w:r>
      <w:r w:rsidRPr="006F2DC8">
        <w:rPr>
          <w:lang w:val="en-US"/>
        </w:rPr>
        <w:t>Geological Society of London Special Publications, London,</w:t>
      </w:r>
      <w:r>
        <w:rPr>
          <w:lang w:val="en-US"/>
        </w:rPr>
        <w:t xml:space="preserve"> </w:t>
      </w:r>
      <w:r w:rsidRPr="006F2DC8">
        <w:rPr>
          <w:lang w:val="en-US"/>
        </w:rPr>
        <w:t>pp.233–244.</w:t>
      </w:r>
    </w:p>
    <w:p w14:paraId="2FDCA801" w14:textId="77777777" w:rsidR="006F2DC8" w:rsidRDefault="006F2DC8" w:rsidP="005D09AC">
      <w:pPr>
        <w:rPr>
          <w:lang w:val="en-US"/>
        </w:rPr>
      </w:pPr>
      <w:r w:rsidRPr="006F2DC8">
        <w:rPr>
          <w:lang w:val="en-US"/>
        </w:rPr>
        <w:t xml:space="preserve">Gauthier, E., Rzodkiewicz, M., Łuców, D., Słowiński, M., </w:t>
      </w:r>
      <w:proofErr w:type="spellStart"/>
      <w:r w:rsidRPr="006F2DC8">
        <w:rPr>
          <w:lang w:val="en-US"/>
        </w:rPr>
        <w:t>Haghipour</w:t>
      </w:r>
      <w:proofErr w:type="spellEnd"/>
      <w:r w:rsidRPr="006F2DC8">
        <w:rPr>
          <w:lang w:val="en-US"/>
        </w:rPr>
        <w:t xml:space="preserve">, N., </w:t>
      </w:r>
      <w:proofErr w:type="spellStart"/>
      <w:r w:rsidRPr="006F2DC8">
        <w:rPr>
          <w:lang w:val="en-US"/>
        </w:rPr>
        <w:t>Golyeva</w:t>
      </w:r>
      <w:proofErr w:type="spellEnd"/>
      <w:r w:rsidRPr="006F2DC8">
        <w:rPr>
          <w:lang w:val="en-US"/>
        </w:rPr>
        <w:t xml:space="preserve">, A., ... &amp; Kittel, P. (2025). The Late </w:t>
      </w:r>
      <w:proofErr w:type="spellStart"/>
      <w:r w:rsidRPr="006F2DC8">
        <w:rPr>
          <w:lang w:val="en-US"/>
        </w:rPr>
        <w:t>Weichselian</w:t>
      </w:r>
      <w:proofErr w:type="spellEnd"/>
      <w:r w:rsidRPr="006F2DC8">
        <w:rPr>
          <w:lang w:val="en-US"/>
        </w:rPr>
        <w:t xml:space="preserve">/Holocene transition on the East European Plain: New multi-proxy data for </w:t>
      </w:r>
      <w:proofErr w:type="spellStart"/>
      <w:r w:rsidRPr="006F2DC8">
        <w:rPr>
          <w:lang w:val="en-US"/>
        </w:rPr>
        <w:t>palaeoenvironmental</w:t>
      </w:r>
      <w:proofErr w:type="spellEnd"/>
      <w:r w:rsidRPr="006F2DC8">
        <w:rPr>
          <w:lang w:val="en-US"/>
        </w:rPr>
        <w:t xml:space="preserve"> reconstructions from a postglacial kettle hole (</w:t>
      </w:r>
      <w:proofErr w:type="spellStart"/>
      <w:r w:rsidRPr="006F2DC8">
        <w:rPr>
          <w:lang w:val="en-US"/>
        </w:rPr>
        <w:t>Serteya</w:t>
      </w:r>
      <w:proofErr w:type="spellEnd"/>
      <w:r w:rsidRPr="006F2DC8">
        <w:rPr>
          <w:lang w:val="en-US"/>
        </w:rPr>
        <w:t xml:space="preserve"> Mire, Western Russia). The Holocene, 35(12), 1237-1258.</w:t>
      </w:r>
    </w:p>
    <w:p w14:paraId="3F25FF83" w14:textId="77777777" w:rsidR="005D09AC" w:rsidRPr="006F2DC8" w:rsidRDefault="005D09AC" w:rsidP="005D09AC">
      <w:r w:rsidRPr="005D09AC">
        <w:rPr>
          <w:lang w:val="en-US"/>
        </w:rPr>
        <w:t xml:space="preserve">Kittel P, Mazurkevich A, Dolbunova E et al. (2018) </w:t>
      </w:r>
      <w:proofErr w:type="spellStart"/>
      <w:r w:rsidRPr="005D09AC">
        <w:rPr>
          <w:lang w:val="en-US"/>
        </w:rPr>
        <w:t>Palaeoenvironmental</w:t>
      </w:r>
      <w:proofErr w:type="spellEnd"/>
      <w:r w:rsidRPr="005D09AC">
        <w:rPr>
          <w:lang w:val="en-US"/>
        </w:rPr>
        <w:t xml:space="preserve"> reconstructions for the Neolithic pile-dwelling</w:t>
      </w:r>
      <w:r>
        <w:rPr>
          <w:lang w:val="en-US"/>
        </w:rPr>
        <w:t xml:space="preserve"> </w:t>
      </w:r>
      <w:proofErr w:type="spellStart"/>
      <w:r>
        <w:rPr>
          <w:lang w:val="en-US"/>
        </w:rPr>
        <w:t>S</w:t>
      </w:r>
      <w:r w:rsidRPr="005D09AC">
        <w:rPr>
          <w:lang w:val="en-US"/>
        </w:rPr>
        <w:t>erteya</w:t>
      </w:r>
      <w:proofErr w:type="spellEnd"/>
      <w:r w:rsidRPr="005D09AC">
        <w:rPr>
          <w:lang w:val="en-US"/>
        </w:rPr>
        <w:t xml:space="preserve"> II site case study, Western Russia. </w:t>
      </w:r>
      <w:r w:rsidRPr="006F2DC8">
        <w:t>Acta Geographica</w:t>
      </w:r>
      <w:r w:rsidR="006F2DC8" w:rsidRPr="006F2DC8">
        <w:t xml:space="preserve"> </w:t>
      </w:r>
      <w:r w:rsidRPr="006F2DC8">
        <w:t>Lodziensia 107: 191–213.</w:t>
      </w:r>
    </w:p>
    <w:p w14:paraId="2FC81391" w14:textId="77777777" w:rsidR="006F2DC8" w:rsidRDefault="006F2DC8" w:rsidP="005D09AC">
      <w:r w:rsidRPr="006F2DC8">
        <w:t xml:space="preserve">Kittel, P., Mazurkevich, A., Gauthier, E., Kazakov, E., Kublitskiy, Y., Rzodkiewicz, M., ... </w:t>
      </w:r>
      <w:r w:rsidRPr="006F2DC8">
        <w:rPr>
          <w:lang w:val="en-US"/>
        </w:rPr>
        <w:t xml:space="preserve">&amp; Dolbunova, E. (2023). A deep history within a small wetland: 13 000 years of human-environment relations on the East European Plain. </w:t>
      </w:r>
      <w:r w:rsidRPr="006F2DC8">
        <w:t>Antiquity, 97(391), e3.</w:t>
      </w:r>
    </w:p>
    <w:p w14:paraId="29A36663" w14:textId="77777777" w:rsidR="006F2DC8" w:rsidRDefault="006F2DC8" w:rsidP="005D09AC">
      <w:pPr>
        <w:rPr>
          <w:lang w:val="en-US"/>
        </w:rPr>
      </w:pPr>
      <w:r w:rsidRPr="006F2DC8">
        <w:t xml:space="preserve">Lebreton, V., Messager, E., Marquer, L., &amp; Renault-Miskovsky, J. (2010). </w:t>
      </w:r>
      <w:r w:rsidRPr="006F2DC8">
        <w:rPr>
          <w:lang w:val="en-US"/>
        </w:rPr>
        <w:t xml:space="preserve">A </w:t>
      </w:r>
      <w:proofErr w:type="spellStart"/>
      <w:r w:rsidRPr="006F2DC8">
        <w:rPr>
          <w:lang w:val="en-US"/>
        </w:rPr>
        <w:t>neotaphonomic</w:t>
      </w:r>
      <w:proofErr w:type="spellEnd"/>
      <w:r w:rsidRPr="006F2DC8">
        <w:rPr>
          <w:lang w:val="en-US"/>
        </w:rPr>
        <w:t xml:space="preserve"> experiment in pollen oxidation and its implications for </w:t>
      </w:r>
      <w:proofErr w:type="spellStart"/>
      <w:r w:rsidRPr="006F2DC8">
        <w:rPr>
          <w:lang w:val="en-US"/>
        </w:rPr>
        <w:t>archaeopalynology</w:t>
      </w:r>
      <w:proofErr w:type="spellEnd"/>
      <w:r w:rsidRPr="006F2DC8">
        <w:rPr>
          <w:lang w:val="en-US"/>
        </w:rPr>
        <w:t xml:space="preserve">. Review of </w:t>
      </w:r>
      <w:proofErr w:type="spellStart"/>
      <w:r w:rsidRPr="006F2DC8">
        <w:rPr>
          <w:lang w:val="en-US"/>
        </w:rPr>
        <w:t>Palaeobotany</w:t>
      </w:r>
      <w:proofErr w:type="spellEnd"/>
      <w:r w:rsidRPr="006F2DC8">
        <w:rPr>
          <w:lang w:val="en-US"/>
        </w:rPr>
        <w:t xml:space="preserve"> and Palynology, 162(1), 29-38.</w:t>
      </w:r>
    </w:p>
    <w:p w14:paraId="7C9BAD17" w14:textId="77777777" w:rsidR="005D09AC" w:rsidRDefault="005D09AC" w:rsidP="005D09AC">
      <w:pPr>
        <w:rPr>
          <w:lang w:val="en-US"/>
        </w:rPr>
      </w:pPr>
      <w:r w:rsidRPr="005D09AC">
        <w:rPr>
          <w:lang w:val="en-US"/>
        </w:rPr>
        <w:t xml:space="preserve">Mazurkevich A, </w:t>
      </w:r>
      <w:proofErr w:type="spellStart"/>
      <w:r w:rsidRPr="005D09AC">
        <w:rPr>
          <w:lang w:val="en-US"/>
        </w:rPr>
        <w:t>Dolukhanov</w:t>
      </w:r>
      <w:proofErr w:type="spellEnd"/>
      <w:r w:rsidRPr="005D09AC">
        <w:rPr>
          <w:lang w:val="en-US"/>
        </w:rPr>
        <w:t xml:space="preserve"> P, </w:t>
      </w:r>
      <w:proofErr w:type="spellStart"/>
      <w:r w:rsidRPr="005D09AC">
        <w:rPr>
          <w:lang w:val="en-US"/>
        </w:rPr>
        <w:t>Shukurov</w:t>
      </w:r>
      <w:proofErr w:type="spellEnd"/>
      <w:r w:rsidRPr="005D09AC">
        <w:rPr>
          <w:lang w:val="en-US"/>
        </w:rPr>
        <w:t xml:space="preserve"> A et al. (2009) Mesolithic and Neolithic in the Western Dvina–Lovat Area. In:</w:t>
      </w:r>
      <w:r>
        <w:rPr>
          <w:lang w:val="en-US"/>
        </w:rPr>
        <w:t xml:space="preserve"> </w:t>
      </w:r>
      <w:proofErr w:type="spellStart"/>
      <w:r w:rsidRPr="005D09AC">
        <w:rPr>
          <w:lang w:val="en-US"/>
        </w:rPr>
        <w:t>Dolukhanov</w:t>
      </w:r>
      <w:proofErr w:type="spellEnd"/>
      <w:r w:rsidRPr="005D09AC">
        <w:rPr>
          <w:lang w:val="en-US"/>
        </w:rPr>
        <w:t xml:space="preserve"> PM, Sarson GR and </w:t>
      </w:r>
      <w:proofErr w:type="spellStart"/>
      <w:r w:rsidRPr="005D09AC">
        <w:rPr>
          <w:lang w:val="en-US"/>
        </w:rPr>
        <w:t>Shukurov</w:t>
      </w:r>
      <w:proofErr w:type="spellEnd"/>
      <w:r w:rsidRPr="005D09AC">
        <w:rPr>
          <w:lang w:val="en-US"/>
        </w:rPr>
        <w:t xml:space="preserve"> AM (eds) The</w:t>
      </w:r>
      <w:r>
        <w:rPr>
          <w:lang w:val="en-US"/>
        </w:rPr>
        <w:t xml:space="preserve"> </w:t>
      </w:r>
      <w:r w:rsidRPr="005D09AC">
        <w:rPr>
          <w:lang w:val="en-US"/>
        </w:rPr>
        <w:t>East European Plain on the Eve of Agriculture, BAR International Series, vol. 164. Oxford, pp.145–153</w:t>
      </w:r>
    </w:p>
    <w:p w14:paraId="7B4C5658" w14:textId="77777777" w:rsidR="005D09AC" w:rsidRPr="005D09AC" w:rsidRDefault="005D09AC" w:rsidP="005D09AC">
      <w:r w:rsidRPr="005D09AC">
        <w:rPr>
          <w:lang w:val="en-US"/>
        </w:rPr>
        <w:t>Moore PH, Webb JA and Collinson ME (1991) Pollen Analysis.</w:t>
      </w:r>
      <w:r>
        <w:rPr>
          <w:lang w:val="en-US"/>
        </w:rPr>
        <w:t xml:space="preserve"> </w:t>
      </w:r>
      <w:r>
        <w:t>Blackwell Scientific Publications, Oxford, pp.1–216</w:t>
      </w:r>
      <w:r w:rsidRPr="005D09AC">
        <w:t>Mroczkowska et al. 2021</w:t>
      </w:r>
    </w:p>
    <w:p w14:paraId="3A996C13" w14:textId="77777777" w:rsidR="005D09AC" w:rsidRDefault="005D09AC" w:rsidP="005D09AC">
      <w:r>
        <w:t>Reille M (1992) Pollen et spores d'Europe et d'Afrique du Nord, vol. 1. Laboratoire de Botanique historique et Palynologie. URA CNRS, Marseille: France</w:t>
      </w:r>
    </w:p>
    <w:p w14:paraId="2AD3E35B" w14:textId="77777777" w:rsidR="005D09AC" w:rsidRDefault="005D09AC" w:rsidP="005D09AC">
      <w:pPr>
        <w:rPr>
          <w:lang w:val="en-US"/>
        </w:rPr>
      </w:pPr>
      <w:r>
        <w:t xml:space="preserve">Tarasov PE, Savelieva LA, Kobe F et al. </w:t>
      </w:r>
      <w:r w:rsidRPr="005D09AC">
        <w:rPr>
          <w:lang w:val="en-US"/>
        </w:rPr>
        <w:t xml:space="preserve">(2022) </w:t>
      </w:r>
      <w:proofErr w:type="spellStart"/>
      <w:r w:rsidRPr="005D09AC">
        <w:rPr>
          <w:lang w:val="en-US"/>
        </w:rPr>
        <w:t>Lateglacial</w:t>
      </w:r>
      <w:proofErr w:type="spellEnd"/>
      <w:r>
        <w:rPr>
          <w:lang w:val="en-US"/>
        </w:rPr>
        <w:t xml:space="preserve"> </w:t>
      </w:r>
      <w:r w:rsidRPr="005D09AC">
        <w:rPr>
          <w:lang w:val="en-US"/>
        </w:rPr>
        <w:t>and Holocene changes in vegetation and human subsistence</w:t>
      </w:r>
      <w:r>
        <w:rPr>
          <w:lang w:val="en-US"/>
        </w:rPr>
        <w:t xml:space="preserve"> </w:t>
      </w:r>
      <w:r w:rsidRPr="005D09AC">
        <w:rPr>
          <w:lang w:val="en-US"/>
        </w:rPr>
        <w:t xml:space="preserve">around Lake </w:t>
      </w:r>
      <w:proofErr w:type="spellStart"/>
      <w:r w:rsidRPr="005D09AC">
        <w:rPr>
          <w:lang w:val="en-US"/>
        </w:rPr>
        <w:t>Zhizhitskoye</w:t>
      </w:r>
      <w:proofErr w:type="spellEnd"/>
      <w:r w:rsidRPr="005D09AC">
        <w:rPr>
          <w:lang w:val="en-US"/>
        </w:rPr>
        <w:t>, East European midlatitudes,</w:t>
      </w:r>
      <w:r>
        <w:rPr>
          <w:lang w:val="en-US"/>
        </w:rPr>
        <w:t xml:space="preserve"> </w:t>
      </w:r>
      <w:r w:rsidRPr="005D09AC">
        <w:rPr>
          <w:lang w:val="en-US"/>
        </w:rPr>
        <w:t>derived from radiocarbon-dated pollen and archaeological</w:t>
      </w:r>
      <w:r>
        <w:rPr>
          <w:lang w:val="en-US"/>
        </w:rPr>
        <w:t xml:space="preserve"> </w:t>
      </w:r>
      <w:r w:rsidRPr="005D09AC">
        <w:rPr>
          <w:lang w:val="en-US"/>
        </w:rPr>
        <w:t>records. Quaternary International 623: 184–197</w:t>
      </w:r>
    </w:p>
    <w:p w14:paraId="1DC5D45B" w14:textId="77777777" w:rsidR="006F2DC8" w:rsidRDefault="006F2DC8" w:rsidP="005D09AC">
      <w:pPr>
        <w:rPr>
          <w:lang w:val="en-US"/>
        </w:rPr>
      </w:pPr>
      <w:r w:rsidRPr="006F2DC8">
        <w:rPr>
          <w:lang w:val="en-US"/>
        </w:rPr>
        <w:t xml:space="preserve">Van Geel, B. (1978). A palaeoecological study of Holocene peat bog sections in Germany and the Netherlands, based on the analysis of pollen, spores and macro-and microscopic remains of fungi, algae, cormophytes and animals. Review of </w:t>
      </w:r>
      <w:proofErr w:type="spellStart"/>
      <w:r w:rsidRPr="006F2DC8">
        <w:rPr>
          <w:lang w:val="en-US"/>
        </w:rPr>
        <w:t>palaeobotany</w:t>
      </w:r>
      <w:proofErr w:type="spellEnd"/>
      <w:r w:rsidRPr="006F2DC8">
        <w:rPr>
          <w:lang w:val="en-US"/>
        </w:rPr>
        <w:t xml:space="preserve"> and palynology, 25(1), 1-120.</w:t>
      </w:r>
    </w:p>
    <w:p w14:paraId="497066AC" w14:textId="77777777" w:rsidR="006F2DC8" w:rsidRPr="006F2DC8" w:rsidRDefault="006F2DC8" w:rsidP="006F2DC8">
      <w:pPr>
        <w:rPr>
          <w:lang w:val="en-US"/>
        </w:rPr>
      </w:pPr>
      <w:r w:rsidRPr="006F2DC8">
        <w:rPr>
          <w:lang w:val="en-US"/>
        </w:rPr>
        <w:t xml:space="preserve">Van Geel B, </w:t>
      </w:r>
      <w:proofErr w:type="spellStart"/>
      <w:r w:rsidRPr="006F2DC8">
        <w:rPr>
          <w:lang w:val="en-US"/>
        </w:rPr>
        <w:t>Bohncke</w:t>
      </w:r>
      <w:proofErr w:type="spellEnd"/>
      <w:r w:rsidRPr="006F2DC8">
        <w:rPr>
          <w:lang w:val="en-US"/>
        </w:rPr>
        <w:t xml:space="preserve"> SJ and Dee H (1980) A palaeoecological</w:t>
      </w:r>
      <w:r>
        <w:rPr>
          <w:lang w:val="en-US"/>
        </w:rPr>
        <w:t xml:space="preserve"> </w:t>
      </w:r>
      <w:r w:rsidRPr="006F2DC8">
        <w:rPr>
          <w:lang w:val="en-US"/>
        </w:rPr>
        <w:t xml:space="preserve">study of an upper late glacial and </w:t>
      </w:r>
      <w:proofErr w:type="spellStart"/>
      <w:r w:rsidRPr="006F2DC8">
        <w:rPr>
          <w:lang w:val="en-US"/>
        </w:rPr>
        <w:t>holocene</w:t>
      </w:r>
      <w:proofErr w:type="spellEnd"/>
      <w:r w:rsidRPr="006F2DC8">
        <w:rPr>
          <w:lang w:val="en-US"/>
        </w:rPr>
        <w:t xml:space="preserve"> sequence from</w:t>
      </w:r>
      <w:r>
        <w:rPr>
          <w:lang w:val="en-US"/>
        </w:rPr>
        <w:t xml:space="preserve"> </w:t>
      </w:r>
      <w:r w:rsidRPr="006F2DC8">
        <w:rPr>
          <w:lang w:val="en-US"/>
        </w:rPr>
        <w:t xml:space="preserve">“de </w:t>
      </w:r>
      <w:proofErr w:type="spellStart"/>
      <w:r w:rsidRPr="006F2DC8">
        <w:rPr>
          <w:lang w:val="en-US"/>
        </w:rPr>
        <w:t>borchert</w:t>
      </w:r>
      <w:proofErr w:type="spellEnd"/>
      <w:r w:rsidRPr="006F2DC8">
        <w:rPr>
          <w:lang w:val="en-US"/>
        </w:rPr>
        <w:t xml:space="preserve">”, The Netherlands. Review of </w:t>
      </w:r>
      <w:proofErr w:type="spellStart"/>
      <w:r w:rsidRPr="006F2DC8">
        <w:rPr>
          <w:lang w:val="en-US"/>
        </w:rPr>
        <w:t>Palaeobotany</w:t>
      </w:r>
      <w:proofErr w:type="spellEnd"/>
      <w:r w:rsidRPr="006F2DC8">
        <w:rPr>
          <w:lang w:val="en-US"/>
        </w:rPr>
        <w:t xml:space="preserve"> and</w:t>
      </w:r>
      <w:r>
        <w:rPr>
          <w:lang w:val="en-US"/>
        </w:rPr>
        <w:t xml:space="preserve"> </w:t>
      </w:r>
      <w:r w:rsidRPr="006F2DC8">
        <w:rPr>
          <w:lang w:val="en-US"/>
        </w:rPr>
        <w:t>Palynology 31: 367–448.</w:t>
      </w:r>
    </w:p>
    <w:p w14:paraId="781FB67D" w14:textId="77777777" w:rsidR="006F2DC8" w:rsidRDefault="006F2DC8" w:rsidP="006F2DC8">
      <w:pPr>
        <w:rPr>
          <w:lang w:val="en-US"/>
        </w:rPr>
      </w:pPr>
      <w:r>
        <w:rPr>
          <w:lang w:val="en-US"/>
        </w:rPr>
        <w:t>V</w:t>
      </w:r>
      <w:r w:rsidRPr="006F2DC8">
        <w:rPr>
          <w:lang w:val="en-US"/>
        </w:rPr>
        <w:t xml:space="preserve">an Geel B, Buurman J, </w:t>
      </w:r>
      <w:proofErr w:type="spellStart"/>
      <w:r w:rsidRPr="006F2DC8">
        <w:rPr>
          <w:lang w:val="en-US"/>
        </w:rPr>
        <w:t>Brinkkemper</w:t>
      </w:r>
      <w:proofErr w:type="spellEnd"/>
      <w:r w:rsidRPr="006F2DC8">
        <w:rPr>
          <w:lang w:val="en-US"/>
        </w:rPr>
        <w:t xml:space="preserve"> O et al. (2003) Environmental reconstruction of a Roman period settlement site in</w:t>
      </w:r>
      <w:r>
        <w:rPr>
          <w:lang w:val="en-US"/>
        </w:rPr>
        <w:t xml:space="preserve"> </w:t>
      </w:r>
      <w:proofErr w:type="spellStart"/>
      <w:r w:rsidRPr="006F2DC8">
        <w:rPr>
          <w:lang w:val="en-US"/>
        </w:rPr>
        <w:t>Uitgeest</w:t>
      </w:r>
      <w:proofErr w:type="spellEnd"/>
      <w:r w:rsidRPr="006F2DC8">
        <w:rPr>
          <w:lang w:val="en-US"/>
        </w:rPr>
        <w:t xml:space="preserve"> (The Netherlands), with special reference to coprophilous fungi. Journal of Archaeological Science 30(7):</w:t>
      </w:r>
      <w:r>
        <w:rPr>
          <w:lang w:val="en-US"/>
        </w:rPr>
        <w:t xml:space="preserve"> </w:t>
      </w:r>
      <w:r w:rsidRPr="006F2DC8">
        <w:rPr>
          <w:lang w:val="en-US"/>
        </w:rPr>
        <w:t>873–883.</w:t>
      </w:r>
    </w:p>
    <w:p w14:paraId="73A8C9BA" w14:textId="77777777" w:rsidR="006F2DC8" w:rsidRDefault="006F2DC8" w:rsidP="006F2DC8">
      <w:pPr>
        <w:rPr>
          <w:lang w:val="en-US"/>
        </w:rPr>
      </w:pPr>
      <w:r>
        <w:rPr>
          <w:lang w:val="en-US"/>
        </w:rPr>
        <w:t>V</w:t>
      </w:r>
      <w:r w:rsidRPr="006F2DC8">
        <w:rPr>
          <w:lang w:val="en-US"/>
        </w:rPr>
        <w:t xml:space="preserve">an Geel B and Aptroot A (2006) Fossil ascomycetes in quaternary deposits. Nova </w:t>
      </w:r>
      <w:proofErr w:type="spellStart"/>
      <w:r w:rsidRPr="006F2DC8">
        <w:rPr>
          <w:lang w:val="en-US"/>
        </w:rPr>
        <w:t>Hedwigia</w:t>
      </w:r>
      <w:proofErr w:type="spellEnd"/>
      <w:r w:rsidRPr="006F2DC8">
        <w:rPr>
          <w:lang w:val="en-US"/>
        </w:rPr>
        <w:t xml:space="preserve"> 82: 313–329.</w:t>
      </w:r>
      <w:r>
        <w:rPr>
          <w:lang w:val="en-US"/>
        </w:rPr>
        <w:t xml:space="preserve"> </w:t>
      </w:r>
    </w:p>
    <w:p w14:paraId="2D4FC933" w14:textId="77777777" w:rsidR="005D09AC" w:rsidRPr="006F2DC8" w:rsidRDefault="005D09AC" w:rsidP="00C97B39">
      <w:pPr>
        <w:rPr>
          <w:lang w:val="en-US"/>
        </w:rPr>
      </w:pPr>
    </w:p>
    <w:p w14:paraId="68E68144" w14:textId="77777777" w:rsidR="00C97B39" w:rsidRPr="006F2DC8" w:rsidRDefault="00C97B39" w:rsidP="00D2205A">
      <w:pPr>
        <w:jc w:val="both"/>
        <w:rPr>
          <w:lang w:val="en-US"/>
        </w:rPr>
      </w:pPr>
    </w:p>
    <w:sectPr w:rsidR="00C97B39" w:rsidRPr="006F2D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151"/>
    <w:rsid w:val="00034A73"/>
    <w:rsid w:val="002019A0"/>
    <w:rsid w:val="00235703"/>
    <w:rsid w:val="00244B7A"/>
    <w:rsid w:val="00283D25"/>
    <w:rsid w:val="00287088"/>
    <w:rsid w:val="002C640A"/>
    <w:rsid w:val="0031542C"/>
    <w:rsid w:val="00337105"/>
    <w:rsid w:val="003A5422"/>
    <w:rsid w:val="004F2A10"/>
    <w:rsid w:val="005228C4"/>
    <w:rsid w:val="00573ABD"/>
    <w:rsid w:val="005D09AC"/>
    <w:rsid w:val="006811D3"/>
    <w:rsid w:val="006F2DC8"/>
    <w:rsid w:val="007872C4"/>
    <w:rsid w:val="007D663D"/>
    <w:rsid w:val="007F22D3"/>
    <w:rsid w:val="008053AF"/>
    <w:rsid w:val="00844A63"/>
    <w:rsid w:val="00846D33"/>
    <w:rsid w:val="00884548"/>
    <w:rsid w:val="00884B35"/>
    <w:rsid w:val="009A79C4"/>
    <w:rsid w:val="00A17300"/>
    <w:rsid w:val="00AC6A0F"/>
    <w:rsid w:val="00AC704E"/>
    <w:rsid w:val="00B30D11"/>
    <w:rsid w:val="00C72206"/>
    <w:rsid w:val="00C8689F"/>
    <w:rsid w:val="00C96DE1"/>
    <w:rsid w:val="00C97B39"/>
    <w:rsid w:val="00CC58D4"/>
    <w:rsid w:val="00D11151"/>
    <w:rsid w:val="00D2205A"/>
    <w:rsid w:val="00D654DA"/>
    <w:rsid w:val="00D912B4"/>
    <w:rsid w:val="00DA5F25"/>
    <w:rsid w:val="00F43396"/>
    <w:rsid w:val="00F63D68"/>
    <w:rsid w:val="00F90A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BB1FB"/>
  <w15:chartTrackingRefBased/>
  <w15:docId w15:val="{B41C240E-8085-4101-9876-AFF47027C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96346">
      <w:bodyDiv w:val="1"/>
      <w:marLeft w:val="0"/>
      <w:marRight w:val="0"/>
      <w:marTop w:val="0"/>
      <w:marBottom w:val="0"/>
      <w:divBdr>
        <w:top w:val="none" w:sz="0" w:space="0" w:color="auto"/>
        <w:left w:val="none" w:sz="0" w:space="0" w:color="auto"/>
        <w:bottom w:val="none" w:sz="0" w:space="0" w:color="auto"/>
        <w:right w:val="none" w:sz="0" w:space="0" w:color="auto"/>
      </w:divBdr>
      <w:divsChild>
        <w:div w:id="1991474825">
          <w:marLeft w:val="0"/>
          <w:marRight w:val="0"/>
          <w:marTop w:val="0"/>
          <w:marBottom w:val="0"/>
          <w:divBdr>
            <w:top w:val="none" w:sz="0" w:space="0" w:color="auto"/>
            <w:left w:val="none" w:sz="0" w:space="0" w:color="auto"/>
            <w:bottom w:val="none" w:sz="0" w:space="0" w:color="auto"/>
            <w:right w:val="none" w:sz="0" w:space="0" w:color="auto"/>
          </w:divBdr>
        </w:div>
      </w:divsChild>
    </w:div>
    <w:div w:id="769736250">
      <w:bodyDiv w:val="1"/>
      <w:marLeft w:val="0"/>
      <w:marRight w:val="0"/>
      <w:marTop w:val="0"/>
      <w:marBottom w:val="0"/>
      <w:divBdr>
        <w:top w:val="none" w:sz="0" w:space="0" w:color="auto"/>
        <w:left w:val="none" w:sz="0" w:space="0" w:color="auto"/>
        <w:bottom w:val="none" w:sz="0" w:space="0" w:color="auto"/>
        <w:right w:val="none" w:sz="0" w:space="0" w:color="auto"/>
      </w:divBdr>
      <w:divsChild>
        <w:div w:id="1174104189">
          <w:marLeft w:val="0"/>
          <w:marRight w:val="0"/>
          <w:marTop w:val="0"/>
          <w:marBottom w:val="0"/>
          <w:divBdr>
            <w:top w:val="none" w:sz="0" w:space="0" w:color="auto"/>
            <w:left w:val="none" w:sz="0" w:space="0" w:color="auto"/>
            <w:bottom w:val="none" w:sz="0" w:space="0" w:color="auto"/>
            <w:right w:val="none" w:sz="0" w:space="0" w:color="auto"/>
          </w:divBdr>
        </w:div>
      </w:divsChild>
    </w:div>
    <w:div w:id="1201170647">
      <w:bodyDiv w:val="1"/>
      <w:marLeft w:val="0"/>
      <w:marRight w:val="0"/>
      <w:marTop w:val="0"/>
      <w:marBottom w:val="0"/>
      <w:divBdr>
        <w:top w:val="none" w:sz="0" w:space="0" w:color="auto"/>
        <w:left w:val="none" w:sz="0" w:space="0" w:color="auto"/>
        <w:bottom w:val="none" w:sz="0" w:space="0" w:color="auto"/>
        <w:right w:val="none" w:sz="0" w:space="0" w:color="auto"/>
      </w:divBdr>
      <w:divsChild>
        <w:div w:id="226650762">
          <w:marLeft w:val="0"/>
          <w:marRight w:val="0"/>
          <w:marTop w:val="0"/>
          <w:marBottom w:val="0"/>
          <w:divBdr>
            <w:top w:val="none" w:sz="0" w:space="0" w:color="auto"/>
            <w:left w:val="none" w:sz="0" w:space="0" w:color="auto"/>
            <w:bottom w:val="none" w:sz="0" w:space="0" w:color="auto"/>
            <w:right w:val="none" w:sz="0" w:space="0" w:color="auto"/>
          </w:divBdr>
        </w:div>
      </w:divsChild>
    </w:div>
    <w:div w:id="1298560841">
      <w:bodyDiv w:val="1"/>
      <w:marLeft w:val="0"/>
      <w:marRight w:val="0"/>
      <w:marTop w:val="0"/>
      <w:marBottom w:val="0"/>
      <w:divBdr>
        <w:top w:val="none" w:sz="0" w:space="0" w:color="auto"/>
        <w:left w:val="none" w:sz="0" w:space="0" w:color="auto"/>
        <w:bottom w:val="none" w:sz="0" w:space="0" w:color="auto"/>
        <w:right w:val="none" w:sz="0" w:space="0" w:color="auto"/>
      </w:divBdr>
      <w:divsChild>
        <w:div w:id="1781879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3829</TotalTime>
  <Pages>5</Pages>
  <Words>2057</Words>
  <Characters>12344</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Gauthier</dc:creator>
  <cp:keywords/>
  <dc:description/>
  <cp:lastModifiedBy>Piotr Kittel</cp:lastModifiedBy>
  <cp:revision>10</cp:revision>
  <dcterms:created xsi:type="dcterms:W3CDTF">2026-06-04T13:34:00Z</dcterms:created>
  <dcterms:modified xsi:type="dcterms:W3CDTF">2026-06-07T16:17:00Z</dcterms:modified>
</cp:coreProperties>
</file>