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F6DA8" w:rsidRPr="00FF6DA8" w:rsidRDefault="00FF6DA8" w:rsidP="00FF6DA8">
      <w:pPr>
        <w:rPr>
          <w:rFonts w:ascii="Times New Roman" w:hAnsi="Times New Roman" w:cs="Times New Roman"/>
          <w:sz w:val="24"/>
          <w:szCs w:val="24"/>
          <w:lang w:val="pl-PL"/>
        </w:rPr>
      </w:pPr>
      <w:r w:rsidRPr="00FF6DA8">
        <w:rPr>
          <w:rFonts w:ascii="Times New Roman" w:hAnsi="Times New Roman" w:cs="Times New Roman"/>
          <w:sz w:val="24"/>
          <w:szCs w:val="24"/>
          <w:lang w:val="pl-PL"/>
        </w:rPr>
        <w:t>Dominika Łuców</w:t>
      </w:r>
    </w:p>
    <w:p w:rsidR="00FF6DA8" w:rsidRPr="00FF6DA8" w:rsidRDefault="00FF6DA8" w:rsidP="00FF6DA8">
      <w:pPr>
        <w:rPr>
          <w:rFonts w:ascii="Times New Roman" w:hAnsi="Times New Roman" w:cs="Times New Roman"/>
          <w:sz w:val="24"/>
          <w:szCs w:val="24"/>
          <w:lang w:val="pl-PL"/>
        </w:rPr>
      </w:pPr>
      <w:r w:rsidRPr="00FF6DA8">
        <w:rPr>
          <w:rFonts w:ascii="Times New Roman" w:hAnsi="Times New Roman" w:cs="Times New Roman"/>
          <w:sz w:val="24"/>
          <w:szCs w:val="24"/>
          <w:lang w:val="pl-PL"/>
        </w:rPr>
        <w:t xml:space="preserve">Katedra Geomorfologii i Geologii Czwartorzędu, </w:t>
      </w:r>
    </w:p>
    <w:p w:rsidR="00FF6DA8" w:rsidRPr="00FF6DA8" w:rsidRDefault="00FF6DA8" w:rsidP="00FF6DA8">
      <w:pPr>
        <w:rPr>
          <w:rFonts w:ascii="Times New Roman" w:hAnsi="Times New Roman" w:cs="Times New Roman"/>
          <w:sz w:val="24"/>
          <w:szCs w:val="24"/>
          <w:lang w:val="pl-PL"/>
        </w:rPr>
      </w:pPr>
      <w:r w:rsidRPr="00FF6DA8">
        <w:rPr>
          <w:rFonts w:ascii="Times New Roman" w:hAnsi="Times New Roman" w:cs="Times New Roman"/>
          <w:sz w:val="24"/>
          <w:szCs w:val="24"/>
          <w:lang w:val="pl-PL"/>
        </w:rPr>
        <w:t>Wydział Oceanografii i Geografii, Uniwersytet Gdański, Gdańsk, Polska. dominika.lucow@ug.edu.pl</w:t>
      </w:r>
    </w:p>
    <w:p w:rsidR="00FF6DA8" w:rsidRPr="00FF6DA8" w:rsidRDefault="00FF6DA8" w:rsidP="00FF6DA8">
      <w:pPr>
        <w:jc w:val="both"/>
        <w:rPr>
          <w:rFonts w:ascii="Times New Roman" w:hAnsi="Times New Roman" w:cs="Times New Roman"/>
          <w:sz w:val="24"/>
          <w:szCs w:val="24"/>
          <w:lang w:val="pl-PL"/>
        </w:rPr>
      </w:pPr>
    </w:p>
    <w:p w:rsidR="00FF6DA8" w:rsidRPr="00FF6DA8" w:rsidRDefault="00FF6DA8" w:rsidP="00FF6DA8">
      <w:pPr>
        <w:jc w:val="both"/>
        <w:rPr>
          <w:rFonts w:ascii="Times New Roman" w:hAnsi="Times New Roman" w:cs="Times New Roman"/>
          <w:sz w:val="24"/>
          <w:szCs w:val="24"/>
          <w:lang w:val="pl-PL"/>
        </w:rPr>
      </w:pPr>
    </w:p>
    <w:p w:rsidR="00FF6DA8" w:rsidRPr="00FF6DA8" w:rsidRDefault="00FF6DA8" w:rsidP="00FF6DA8">
      <w:pPr>
        <w:jc w:val="center"/>
        <w:rPr>
          <w:rFonts w:ascii="Times New Roman" w:hAnsi="Times New Roman" w:cs="Times New Roman"/>
          <w:b/>
          <w:bCs/>
          <w:sz w:val="24"/>
          <w:szCs w:val="24"/>
          <w:lang w:val="pl-PL"/>
        </w:rPr>
      </w:pPr>
      <w:r w:rsidRPr="00FF6DA8">
        <w:rPr>
          <w:rFonts w:ascii="Times New Roman" w:hAnsi="Times New Roman" w:cs="Times New Roman"/>
          <w:b/>
          <w:bCs/>
          <w:sz w:val="24"/>
          <w:szCs w:val="24"/>
          <w:lang w:val="pl-PL"/>
        </w:rPr>
        <w:t>Raport - makroskopowe węgle drzewne (Serteja, T3)</w:t>
      </w:r>
    </w:p>
    <w:p w:rsidR="00FF6DA8" w:rsidRPr="00FF6DA8" w:rsidRDefault="00FF6DA8" w:rsidP="00FF6DA8">
      <w:pPr>
        <w:jc w:val="both"/>
        <w:rPr>
          <w:rFonts w:ascii="Times New Roman" w:hAnsi="Times New Roman" w:cs="Times New Roman"/>
          <w:sz w:val="24"/>
          <w:szCs w:val="24"/>
          <w:lang w:val="pl-PL"/>
        </w:rPr>
      </w:pPr>
    </w:p>
    <w:p w:rsidR="00FF6DA8" w:rsidRPr="00FF6DA8" w:rsidRDefault="00FF6DA8" w:rsidP="00FF6DA8">
      <w:pPr>
        <w:jc w:val="both"/>
        <w:rPr>
          <w:rFonts w:ascii="Times New Roman" w:hAnsi="Times New Roman" w:cs="Times New Roman"/>
          <w:b/>
          <w:bCs/>
          <w:sz w:val="24"/>
          <w:szCs w:val="24"/>
          <w:lang w:val="en-US"/>
        </w:rPr>
      </w:pPr>
      <w:r w:rsidRPr="00FF6DA8">
        <w:rPr>
          <w:rFonts w:ascii="Times New Roman" w:hAnsi="Times New Roman" w:cs="Times New Roman"/>
          <w:b/>
          <w:bCs/>
          <w:sz w:val="24"/>
          <w:szCs w:val="24"/>
          <w:lang w:val="en-US"/>
        </w:rPr>
        <w:t>Methods</w:t>
      </w:r>
    </w:p>
    <w:p w:rsidR="00FF6DA8" w:rsidRPr="00FF6DA8" w:rsidRDefault="00FF6DA8" w:rsidP="00FF6DA8">
      <w:pPr>
        <w:jc w:val="both"/>
        <w:rPr>
          <w:rFonts w:ascii="Times New Roman" w:hAnsi="Times New Roman" w:cs="Times New Roman"/>
          <w:sz w:val="24"/>
          <w:szCs w:val="24"/>
          <w:lang w:val="en-US"/>
        </w:rPr>
      </w:pPr>
      <w:r w:rsidRPr="00FF6DA8">
        <w:rPr>
          <w:rFonts w:ascii="Times New Roman" w:hAnsi="Times New Roman" w:cs="Times New Roman"/>
          <w:sz w:val="24"/>
          <w:szCs w:val="24"/>
          <w:lang w:val="en-US"/>
        </w:rPr>
        <w:t>Macroscopic charcoal analysis was conducted to reconstruct past fire history (Gardner and Whitlock, 2001; Clark, 1988; Tinner et al., 1998). For this purpose, 1 cm³ sediment samples were collected at 4 cm intervals from the Sertejaj peat core. Each sample was chemically treated following the method described by Enache and Cumming (2007). The sediment was digested in a 10% KOH solution for 24 hours and subsequently bleached in a 5% sodium hypochlorite (NaOCl) solution. After chemical treatment, the samples were sieved through 100 and 500 μm mesh sieves, yielding two size fractions: 100–500 μm and &gt;500 μm. Charcoal particles from each fraction were counted under a stereomicroscope at 40× magnification. Based on the number of particles, sample volume, and sediment accumulation rate, the macroscopic charcoal influx was calculated.</w:t>
      </w:r>
    </w:p>
    <w:p w:rsidR="00FF6DA8" w:rsidRPr="00FF6DA8" w:rsidRDefault="00FF6DA8" w:rsidP="00FF6DA8">
      <w:pPr>
        <w:jc w:val="both"/>
        <w:rPr>
          <w:rFonts w:ascii="Times New Roman" w:hAnsi="Times New Roman" w:cs="Times New Roman"/>
          <w:sz w:val="24"/>
          <w:szCs w:val="24"/>
          <w:lang w:val="en-US"/>
        </w:rPr>
      </w:pPr>
    </w:p>
    <w:p w:rsidR="00FF6DA8" w:rsidRPr="00FF6DA8" w:rsidRDefault="00FF6DA8" w:rsidP="00FF6DA8">
      <w:pPr>
        <w:jc w:val="both"/>
        <w:rPr>
          <w:rFonts w:ascii="Times New Roman" w:hAnsi="Times New Roman" w:cs="Times New Roman"/>
          <w:b/>
          <w:bCs/>
          <w:sz w:val="24"/>
          <w:szCs w:val="24"/>
          <w:lang w:val="en-US"/>
        </w:rPr>
      </w:pPr>
      <w:r w:rsidRPr="00FF6DA8">
        <w:rPr>
          <w:rFonts w:ascii="Times New Roman" w:hAnsi="Times New Roman" w:cs="Times New Roman"/>
          <w:b/>
          <w:bCs/>
          <w:sz w:val="24"/>
          <w:szCs w:val="24"/>
          <w:lang w:val="en-US"/>
        </w:rPr>
        <w:t>Results</w:t>
      </w:r>
    </w:p>
    <w:p w:rsidR="00FF6DA8" w:rsidRPr="00FF6DA8" w:rsidRDefault="00FF6DA8" w:rsidP="00FF6DA8">
      <w:pPr>
        <w:jc w:val="both"/>
        <w:rPr>
          <w:rFonts w:ascii="Times New Roman" w:hAnsi="Times New Roman" w:cs="Times New Roman"/>
          <w:sz w:val="24"/>
          <w:szCs w:val="24"/>
          <w:lang w:val="en-US"/>
        </w:rPr>
      </w:pPr>
      <w:r w:rsidRPr="00FF6DA8">
        <w:rPr>
          <w:rFonts w:ascii="Times New Roman" w:hAnsi="Times New Roman" w:cs="Times New Roman"/>
          <w:sz w:val="24"/>
          <w:szCs w:val="24"/>
          <w:lang w:val="en-US"/>
        </w:rPr>
        <w:t>Changes in macroscopic charcoal concentration (particles/cm³) and influz (particles/cm²/year), both in total and for two size fractions (100–500 µm and &gt;500 µm), for a core from the Serteja T3 peat bog, are presented in Fig. 1. These data reflect variations in the intensity of local fire activity during the Holocene. The 100–500 µm fraction dominates the total macroscopic charcoal concentration, whereas the proportion of particles &gt;500 µm is generally very low and occurs only episodically. Based on changes in macroscopic charcoal concentration and influx, five zones were distinguished, corresponding to different stages of fire activity.</w:t>
      </w:r>
    </w:p>
    <w:p w:rsidR="00FF6DA8" w:rsidRPr="00FF6DA8" w:rsidRDefault="00FF6DA8" w:rsidP="00FF6DA8">
      <w:pPr>
        <w:jc w:val="both"/>
        <w:rPr>
          <w:rFonts w:ascii="Times New Roman" w:hAnsi="Times New Roman" w:cs="Times New Roman"/>
          <w:sz w:val="24"/>
          <w:szCs w:val="24"/>
          <w:lang w:val="en-US"/>
        </w:rPr>
      </w:pPr>
    </w:p>
    <w:p w:rsidR="00FF6DA8" w:rsidRPr="00FF6DA8" w:rsidRDefault="00FF6DA8" w:rsidP="00FF6DA8">
      <w:pPr>
        <w:jc w:val="both"/>
        <w:rPr>
          <w:rFonts w:ascii="Times New Roman" w:hAnsi="Times New Roman" w:cs="Times New Roman"/>
          <w:sz w:val="24"/>
          <w:szCs w:val="24"/>
          <w:lang w:val="en-US"/>
        </w:rPr>
      </w:pPr>
      <w:r w:rsidRPr="00FF6DA8">
        <w:rPr>
          <w:rFonts w:ascii="Times New Roman" w:hAnsi="Times New Roman" w:cs="Times New Roman"/>
          <w:sz w:val="24"/>
          <w:szCs w:val="24"/>
          <w:lang w:val="en-US"/>
        </w:rPr>
        <w:t>Zone 1 (1340–1260 cm; ca. ????–12 500 BP)</w:t>
      </w:r>
    </w:p>
    <w:p w:rsidR="00FF6DA8" w:rsidRPr="00FF6DA8" w:rsidRDefault="00FF6DA8" w:rsidP="00FF6DA8">
      <w:pPr>
        <w:jc w:val="both"/>
        <w:rPr>
          <w:rFonts w:ascii="Times New Roman" w:hAnsi="Times New Roman" w:cs="Times New Roman"/>
          <w:sz w:val="24"/>
          <w:szCs w:val="24"/>
          <w:lang w:val="en-US"/>
        </w:rPr>
      </w:pPr>
      <w:r w:rsidRPr="00FF6DA8">
        <w:rPr>
          <w:rFonts w:ascii="Times New Roman" w:hAnsi="Times New Roman" w:cs="Times New Roman"/>
          <w:sz w:val="24"/>
          <w:szCs w:val="24"/>
          <w:lang w:val="en-US"/>
        </w:rPr>
        <w:t>The lower part of the profile is characterized by the highest macroscopic charcoal concentrations and influx values, indicating intense fire activity in the immediate vicinity of the peat bog. One major peak exceeding 3700 particles/cm³ (influx ca. 292 particles/cm²/year). Additional peaks include one above 800 particles/cm³ (influx ≈ 69 particles/cm²/year), one above 400 particles/cm³ (influx ≈ 51 particles/cm²/year), three exceeding 200 particles/cm³, and two exceeding 100 particles/cm³.</w:t>
      </w:r>
    </w:p>
    <w:p w:rsidR="00FF6DA8" w:rsidRPr="00FF6DA8" w:rsidRDefault="00FF6DA8" w:rsidP="00FF6DA8">
      <w:pPr>
        <w:jc w:val="both"/>
        <w:rPr>
          <w:rFonts w:ascii="Times New Roman" w:hAnsi="Times New Roman" w:cs="Times New Roman"/>
          <w:sz w:val="24"/>
          <w:szCs w:val="24"/>
          <w:lang w:val="en-US"/>
        </w:rPr>
      </w:pPr>
    </w:p>
    <w:p w:rsidR="00FF6DA8" w:rsidRPr="00FF6DA8" w:rsidRDefault="00FF6DA8" w:rsidP="00FF6DA8">
      <w:pPr>
        <w:jc w:val="both"/>
        <w:rPr>
          <w:rFonts w:ascii="Times New Roman" w:hAnsi="Times New Roman" w:cs="Times New Roman"/>
          <w:sz w:val="24"/>
          <w:szCs w:val="24"/>
          <w:lang w:val="en-US"/>
        </w:rPr>
      </w:pPr>
      <w:r w:rsidRPr="00FF6DA8">
        <w:rPr>
          <w:rFonts w:ascii="Times New Roman" w:hAnsi="Times New Roman" w:cs="Times New Roman"/>
          <w:sz w:val="24"/>
          <w:szCs w:val="24"/>
          <w:lang w:val="en-US"/>
        </w:rPr>
        <w:t>Zone 2 (1260–1040 cm; ca. 12 500–10000 BP)</w:t>
      </w:r>
    </w:p>
    <w:p w:rsidR="00FF6DA8" w:rsidRPr="00FF6DA8" w:rsidRDefault="00FF6DA8" w:rsidP="00FF6DA8">
      <w:pPr>
        <w:jc w:val="both"/>
        <w:rPr>
          <w:rFonts w:ascii="Times New Roman" w:hAnsi="Times New Roman" w:cs="Times New Roman"/>
          <w:sz w:val="24"/>
          <w:szCs w:val="24"/>
          <w:lang w:val="en-US"/>
        </w:rPr>
      </w:pPr>
      <w:r w:rsidRPr="00FF6DA8">
        <w:rPr>
          <w:rFonts w:ascii="Times New Roman" w:hAnsi="Times New Roman" w:cs="Times New Roman"/>
          <w:sz w:val="24"/>
          <w:szCs w:val="24"/>
          <w:lang w:val="en-US"/>
        </w:rPr>
        <w:t>This interval shows generally lower charcoal concentrations and influx values compared to Zone 1, although fire activity remains noticeable. Higher values occur in the first half of the zone, with one peak above 100 particles/cm³ and six peaks above 50 particles/cm³.</w:t>
      </w:r>
    </w:p>
    <w:p w:rsidR="00FF6DA8" w:rsidRPr="00FF6DA8" w:rsidRDefault="00FF6DA8" w:rsidP="00FF6DA8">
      <w:pPr>
        <w:jc w:val="both"/>
        <w:rPr>
          <w:rFonts w:ascii="Times New Roman" w:hAnsi="Times New Roman" w:cs="Times New Roman"/>
          <w:sz w:val="24"/>
          <w:szCs w:val="24"/>
          <w:lang w:val="en-US"/>
        </w:rPr>
      </w:pPr>
    </w:p>
    <w:p w:rsidR="00FF6DA8" w:rsidRPr="00FF6DA8" w:rsidRDefault="00FF6DA8" w:rsidP="00FF6DA8">
      <w:pPr>
        <w:jc w:val="both"/>
        <w:rPr>
          <w:rFonts w:ascii="Times New Roman" w:hAnsi="Times New Roman" w:cs="Times New Roman"/>
          <w:sz w:val="24"/>
          <w:szCs w:val="24"/>
          <w:lang w:val="en-US"/>
        </w:rPr>
      </w:pPr>
      <w:r w:rsidRPr="00FF6DA8">
        <w:rPr>
          <w:rFonts w:ascii="Times New Roman" w:hAnsi="Times New Roman" w:cs="Times New Roman"/>
          <w:sz w:val="24"/>
          <w:szCs w:val="24"/>
          <w:lang w:val="en-US"/>
        </w:rPr>
        <w:t>Zone 3 (1040–815 cm; ca. 10000–8200 BP)</w:t>
      </w:r>
    </w:p>
    <w:p w:rsidR="00FF6DA8" w:rsidRPr="00FF6DA8" w:rsidRDefault="00FF6DA8" w:rsidP="00FF6DA8">
      <w:pPr>
        <w:jc w:val="both"/>
        <w:rPr>
          <w:rFonts w:ascii="Times New Roman" w:hAnsi="Times New Roman" w:cs="Times New Roman"/>
          <w:sz w:val="24"/>
          <w:szCs w:val="24"/>
          <w:lang w:val="en-US"/>
        </w:rPr>
      </w:pPr>
      <w:r w:rsidRPr="00FF6DA8">
        <w:rPr>
          <w:rFonts w:ascii="Times New Roman" w:hAnsi="Times New Roman" w:cs="Times New Roman"/>
          <w:sz w:val="24"/>
          <w:szCs w:val="24"/>
          <w:lang w:val="en-US"/>
        </w:rPr>
        <w:lastRenderedPageBreak/>
        <w:t>Influx values suggest a renewed increase in fire activity. This zone contains two clusters of peaks—one at the beginning and one near the end—separated by a period of very low charcoal input. In the first cluster, one peak exceeded 100 particles/cm³ and another exceeded 50 particles/cm³. In the second cluster, two peaks exceeded 100 particles/cm³, and five exceeded 50 particles/cm³.</w:t>
      </w:r>
    </w:p>
    <w:p w:rsidR="00FF6DA8" w:rsidRPr="00FF6DA8" w:rsidRDefault="00FF6DA8" w:rsidP="00FF6DA8">
      <w:pPr>
        <w:jc w:val="both"/>
        <w:rPr>
          <w:rFonts w:ascii="Times New Roman" w:hAnsi="Times New Roman" w:cs="Times New Roman"/>
          <w:sz w:val="24"/>
          <w:szCs w:val="24"/>
          <w:lang w:val="en-US"/>
        </w:rPr>
      </w:pPr>
    </w:p>
    <w:p w:rsidR="00FF6DA8" w:rsidRPr="00FF6DA8" w:rsidRDefault="00FF6DA8" w:rsidP="00FF6DA8">
      <w:pPr>
        <w:jc w:val="both"/>
        <w:rPr>
          <w:rFonts w:ascii="Times New Roman" w:hAnsi="Times New Roman" w:cs="Times New Roman"/>
          <w:sz w:val="24"/>
          <w:szCs w:val="24"/>
          <w:lang w:val="en-US"/>
        </w:rPr>
      </w:pPr>
      <w:r w:rsidRPr="00FF6DA8">
        <w:rPr>
          <w:rFonts w:ascii="Times New Roman" w:hAnsi="Times New Roman" w:cs="Times New Roman"/>
          <w:sz w:val="24"/>
          <w:szCs w:val="24"/>
          <w:lang w:val="en-US"/>
        </w:rPr>
        <w:t>Zone 4 (815–180- cm; ca. 8200–1600 BP)</w:t>
      </w:r>
    </w:p>
    <w:p w:rsidR="00FF6DA8" w:rsidRPr="00FF6DA8" w:rsidRDefault="00FF6DA8" w:rsidP="00FF6DA8">
      <w:pPr>
        <w:jc w:val="both"/>
        <w:rPr>
          <w:rFonts w:ascii="Times New Roman" w:hAnsi="Times New Roman" w:cs="Times New Roman"/>
          <w:sz w:val="24"/>
          <w:szCs w:val="24"/>
          <w:lang w:val="en-US"/>
        </w:rPr>
      </w:pPr>
      <w:r w:rsidRPr="00FF6DA8">
        <w:rPr>
          <w:rFonts w:ascii="Times New Roman" w:hAnsi="Times New Roman" w:cs="Times New Roman"/>
          <w:sz w:val="24"/>
          <w:szCs w:val="24"/>
          <w:lang w:val="en-US"/>
        </w:rPr>
        <w:t>This interval is marked by the lowest charcoal concentrations and influx values in the entire core. Most peaks remain around 20 or below 20 particles/cm³, with only two exceeding 30 particles/cm³, reflecting a prolonged period of reduced fire frequency.</w:t>
      </w:r>
    </w:p>
    <w:p w:rsidR="00FF6DA8" w:rsidRPr="00FF6DA8" w:rsidRDefault="00FF6DA8" w:rsidP="00FF6DA8">
      <w:pPr>
        <w:jc w:val="both"/>
        <w:rPr>
          <w:rFonts w:ascii="Times New Roman" w:hAnsi="Times New Roman" w:cs="Times New Roman"/>
          <w:sz w:val="24"/>
          <w:szCs w:val="24"/>
          <w:lang w:val="en-US"/>
        </w:rPr>
      </w:pPr>
    </w:p>
    <w:p w:rsidR="00FF6DA8" w:rsidRPr="00FF6DA8" w:rsidRDefault="00FF6DA8" w:rsidP="00FF6DA8">
      <w:pPr>
        <w:jc w:val="both"/>
        <w:rPr>
          <w:rFonts w:ascii="Times New Roman" w:hAnsi="Times New Roman" w:cs="Times New Roman"/>
          <w:sz w:val="24"/>
          <w:szCs w:val="24"/>
          <w:lang w:val="en-US"/>
        </w:rPr>
      </w:pPr>
      <w:r w:rsidRPr="00FF6DA8">
        <w:rPr>
          <w:rFonts w:ascii="Times New Roman" w:hAnsi="Times New Roman" w:cs="Times New Roman"/>
          <w:sz w:val="24"/>
          <w:szCs w:val="24"/>
          <w:lang w:val="en-US"/>
        </w:rPr>
        <w:t>Zone 5 (180–0 cm; ca. 1600–64 BP)</w:t>
      </w:r>
    </w:p>
    <w:p w:rsidR="00FF6DA8" w:rsidRPr="00FF6DA8" w:rsidRDefault="00FF6DA8" w:rsidP="00FF6DA8">
      <w:pPr>
        <w:jc w:val="both"/>
        <w:rPr>
          <w:rFonts w:ascii="Times New Roman" w:hAnsi="Times New Roman" w:cs="Times New Roman"/>
          <w:sz w:val="24"/>
          <w:szCs w:val="24"/>
          <w:lang w:val="en-US"/>
        </w:rPr>
      </w:pPr>
      <w:r w:rsidRPr="00FF6DA8">
        <w:rPr>
          <w:rFonts w:ascii="Times New Roman" w:hAnsi="Times New Roman" w:cs="Times New Roman"/>
          <w:sz w:val="24"/>
          <w:szCs w:val="24"/>
          <w:lang w:val="en-US"/>
        </w:rPr>
        <w:t>In the uppermost part of the profile, macroscopic charcoal concentrations and influx values increase again, reaching moderate levels. One peak exceeds 100 particles/cm³, and three exceed 50 particles/cm³.</w:t>
      </w:r>
    </w:p>
    <w:p w:rsidR="00FF6DA8" w:rsidRPr="00FF6DA8" w:rsidRDefault="00FF6DA8" w:rsidP="00FF6DA8">
      <w:pPr>
        <w:jc w:val="both"/>
        <w:rPr>
          <w:rFonts w:ascii="Times New Roman" w:hAnsi="Times New Roman" w:cs="Times New Roman"/>
          <w:sz w:val="24"/>
          <w:szCs w:val="24"/>
          <w:lang w:val="en-US"/>
        </w:rPr>
      </w:pPr>
      <w:r w:rsidRPr="00FF6DA8">
        <w:rPr>
          <w:rFonts w:ascii="Times New Roman" w:hAnsi="Times New Roman" w:cs="Times New Roman"/>
          <w:sz w:val="24"/>
          <w:szCs w:val="24"/>
          <w:lang w:val="en-US"/>
        </w:rPr>
        <w:t xml:space="preserve"> </w:t>
      </w:r>
      <w:r>
        <w:rPr>
          <w:rFonts w:ascii="Times New Roman" w:eastAsia="Times New Roman" w:hAnsi="Times New Roman" w:cs="Times New Roman"/>
          <w:noProof/>
          <w:sz w:val="24"/>
          <w:szCs w:val="24"/>
        </w:rPr>
        <w:drawing>
          <wp:inline distT="114300" distB="114300" distL="114300" distR="114300" wp14:anchorId="1EDA4805" wp14:editId="3709AF00">
            <wp:extent cx="5731200" cy="4610100"/>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4"/>
                    <a:srcRect/>
                    <a:stretch>
                      <a:fillRect/>
                    </a:stretch>
                  </pic:blipFill>
                  <pic:spPr>
                    <a:xfrm>
                      <a:off x="0" y="0"/>
                      <a:ext cx="5731200" cy="4610100"/>
                    </a:xfrm>
                    <a:prstGeom prst="rect">
                      <a:avLst/>
                    </a:prstGeom>
                    <a:ln/>
                  </pic:spPr>
                </pic:pic>
              </a:graphicData>
            </a:graphic>
          </wp:inline>
        </w:drawing>
      </w:r>
    </w:p>
    <w:p w:rsidR="00FF6DA8" w:rsidRPr="00FF6DA8" w:rsidRDefault="00FF6DA8" w:rsidP="00FF6DA8">
      <w:pPr>
        <w:jc w:val="both"/>
        <w:rPr>
          <w:rFonts w:ascii="Times New Roman" w:hAnsi="Times New Roman" w:cs="Times New Roman"/>
          <w:sz w:val="24"/>
          <w:szCs w:val="24"/>
          <w:lang w:val="en-US"/>
        </w:rPr>
      </w:pPr>
      <w:r w:rsidRPr="00FF6DA8">
        <w:rPr>
          <w:rFonts w:ascii="Times New Roman" w:hAnsi="Times New Roman" w:cs="Times New Roman"/>
          <w:sz w:val="24"/>
          <w:szCs w:val="24"/>
          <w:lang w:val="en-US"/>
        </w:rPr>
        <w:t>Figure 1. Macroscopic charcoal influx and concentration for Serteja core.</w:t>
      </w:r>
    </w:p>
    <w:p w:rsidR="00FF6DA8" w:rsidRPr="00FF6DA8" w:rsidRDefault="00FF6DA8" w:rsidP="00FF6DA8">
      <w:pPr>
        <w:jc w:val="both"/>
        <w:rPr>
          <w:rFonts w:ascii="Times New Roman" w:hAnsi="Times New Roman" w:cs="Times New Roman"/>
          <w:sz w:val="24"/>
          <w:szCs w:val="24"/>
          <w:lang w:val="en-US"/>
        </w:rPr>
      </w:pPr>
    </w:p>
    <w:p w:rsidR="00FF6DA8" w:rsidRDefault="00FF6DA8" w:rsidP="00FF6DA8">
      <w:pPr>
        <w:jc w:val="both"/>
        <w:rPr>
          <w:rFonts w:ascii="Times New Roman" w:hAnsi="Times New Roman" w:cs="Times New Roman"/>
          <w:b/>
          <w:bCs/>
          <w:sz w:val="24"/>
          <w:szCs w:val="24"/>
          <w:lang w:val="en-US"/>
        </w:rPr>
      </w:pPr>
    </w:p>
    <w:p w:rsidR="00FF6DA8" w:rsidRDefault="00FF6DA8" w:rsidP="00FF6DA8">
      <w:pPr>
        <w:jc w:val="both"/>
        <w:rPr>
          <w:rFonts w:ascii="Times New Roman" w:hAnsi="Times New Roman" w:cs="Times New Roman"/>
          <w:b/>
          <w:bCs/>
          <w:sz w:val="24"/>
          <w:szCs w:val="24"/>
          <w:lang w:val="en-US"/>
        </w:rPr>
      </w:pPr>
    </w:p>
    <w:p w:rsidR="00FF6DA8" w:rsidRDefault="00FF6DA8" w:rsidP="00FF6DA8">
      <w:pPr>
        <w:jc w:val="both"/>
        <w:rPr>
          <w:rFonts w:ascii="Times New Roman" w:hAnsi="Times New Roman" w:cs="Times New Roman"/>
          <w:b/>
          <w:bCs/>
          <w:sz w:val="24"/>
          <w:szCs w:val="24"/>
          <w:lang w:val="en-US"/>
        </w:rPr>
      </w:pPr>
    </w:p>
    <w:p w:rsidR="00FF6DA8" w:rsidRPr="00FF6DA8" w:rsidRDefault="00FF6DA8" w:rsidP="00FF6DA8">
      <w:pPr>
        <w:jc w:val="both"/>
        <w:rPr>
          <w:rFonts w:ascii="Times New Roman" w:hAnsi="Times New Roman" w:cs="Times New Roman"/>
          <w:b/>
          <w:bCs/>
          <w:sz w:val="24"/>
          <w:szCs w:val="24"/>
          <w:lang w:val="en-US"/>
        </w:rPr>
      </w:pPr>
      <w:r w:rsidRPr="00FF6DA8">
        <w:rPr>
          <w:rFonts w:ascii="Times New Roman" w:hAnsi="Times New Roman" w:cs="Times New Roman"/>
          <w:b/>
          <w:bCs/>
          <w:sz w:val="24"/>
          <w:szCs w:val="24"/>
          <w:lang w:val="en-US"/>
        </w:rPr>
        <w:lastRenderedPageBreak/>
        <w:t>Interpretation</w:t>
      </w:r>
    </w:p>
    <w:p w:rsidR="00FF6DA8" w:rsidRPr="00FF6DA8" w:rsidRDefault="00FF6DA8" w:rsidP="00FF6DA8">
      <w:pPr>
        <w:jc w:val="both"/>
        <w:rPr>
          <w:rFonts w:ascii="Times New Roman" w:hAnsi="Times New Roman" w:cs="Times New Roman"/>
          <w:sz w:val="24"/>
          <w:szCs w:val="24"/>
          <w:lang w:val="en-US"/>
        </w:rPr>
      </w:pPr>
      <w:r w:rsidRPr="00FF6DA8">
        <w:rPr>
          <w:rFonts w:ascii="Times New Roman" w:hAnsi="Times New Roman" w:cs="Times New Roman"/>
          <w:sz w:val="24"/>
          <w:szCs w:val="24"/>
          <w:lang w:val="en-US"/>
        </w:rPr>
        <w:t>Zone 1 (1340–1260 cm; ca. ????–12 500 BP)</w:t>
      </w:r>
    </w:p>
    <w:p w:rsidR="00FF6DA8" w:rsidRPr="00FF6DA8" w:rsidRDefault="00FF6DA8" w:rsidP="00FF6DA8">
      <w:pPr>
        <w:jc w:val="both"/>
        <w:rPr>
          <w:rFonts w:ascii="Times New Roman" w:hAnsi="Times New Roman" w:cs="Times New Roman"/>
          <w:sz w:val="24"/>
          <w:szCs w:val="24"/>
          <w:lang w:val="en-US"/>
        </w:rPr>
      </w:pPr>
      <w:r w:rsidRPr="00FF6DA8">
        <w:rPr>
          <w:rFonts w:ascii="Times New Roman" w:hAnsi="Times New Roman" w:cs="Times New Roman"/>
          <w:sz w:val="24"/>
          <w:szCs w:val="24"/>
          <w:lang w:val="en-US"/>
        </w:rPr>
        <w:t>The highest concentrations and influx values of macroscopic charcoal in this zone indicate a period of intense fire activity in the vicinity of the studied peat bog. This phenomenon may have been related to the occurrence of large fires in its immediate vicinity. One of the most pronounced peaks in the record may suggest an episode of a large fire. However, it cannot be ruled out that it represents a record of a longer period of increased fire activity, involving several consecutive fire events. The accumulation of macroscopic charcoal may also have been influenced by local sedimentation processes associated with the formation of the lake. This reservoir was most likely formed as a result of the melting of an ice mass. Indirect confirmation of this origin may be the presence of brown peat in the bottom part of the core, which may have formed directly on the surface of the dead ice mass. During its accumulation, charcoal particles from the surrounding landscape may have been collected. Subsequently, during the formation of the lake, the previously deposited material may have been redeposited. Undoubtedly, erosion also influenced the accumulation of charcoal. Consequently, the observed peak in the charcoal record may not reflect a single fire episode, but rather the effect of the accumulation of material from several fires and complex sedimentation processes.</w:t>
      </w:r>
      <w:r>
        <w:rPr>
          <w:rFonts w:ascii="Times New Roman" w:hAnsi="Times New Roman" w:cs="Times New Roman"/>
          <w:sz w:val="24"/>
          <w:szCs w:val="24"/>
          <w:lang w:val="en-US"/>
        </w:rPr>
        <w:t xml:space="preserve"> </w:t>
      </w:r>
      <w:proofErr w:type="gramStart"/>
      <w:r w:rsidRPr="00FF6DA8">
        <w:rPr>
          <w:rFonts w:ascii="Times New Roman" w:hAnsi="Times New Roman" w:cs="Times New Roman"/>
          <w:sz w:val="24"/>
          <w:szCs w:val="24"/>
          <w:lang w:val="en-US"/>
        </w:rPr>
        <w:t>An</w:t>
      </w:r>
      <w:proofErr w:type="gramEnd"/>
      <w:r w:rsidRPr="00FF6DA8">
        <w:rPr>
          <w:rFonts w:ascii="Times New Roman" w:hAnsi="Times New Roman" w:cs="Times New Roman"/>
          <w:sz w:val="24"/>
          <w:szCs w:val="24"/>
          <w:lang w:val="en-US"/>
        </w:rPr>
        <w:t xml:space="preserve"> additional factor that may have contributed to increased fire activity was climate change and the associated transformation of vegetation. The cooling at the end of the Allerød (Gl-1b) may have led to a decline in the proportion of thermophilic pine and an increase in the importance of spruce in the forest structure. Such changes could have resulted in increased accumulation of dead wood, which is a potential fuel for fires. As a consequence, in the subsequent warmer climate interval Gl-1a, forests may have become more susceptible to fires and their frequency may have increased (Gedminienė et al., 2025; Moska et al., 2023; van der Hammen and van Geel, 2008).</w:t>
      </w:r>
    </w:p>
    <w:p w:rsidR="00FF6DA8" w:rsidRPr="00FF6DA8" w:rsidRDefault="00FF6DA8" w:rsidP="00FF6DA8">
      <w:pPr>
        <w:jc w:val="both"/>
        <w:rPr>
          <w:rFonts w:ascii="Times New Roman" w:hAnsi="Times New Roman" w:cs="Times New Roman"/>
          <w:sz w:val="24"/>
          <w:szCs w:val="24"/>
          <w:lang w:val="en-US"/>
        </w:rPr>
      </w:pPr>
    </w:p>
    <w:p w:rsidR="00FF6DA8" w:rsidRPr="00FF6DA8" w:rsidRDefault="00FF6DA8" w:rsidP="00FF6DA8">
      <w:pPr>
        <w:jc w:val="both"/>
        <w:rPr>
          <w:rFonts w:ascii="Times New Roman" w:hAnsi="Times New Roman" w:cs="Times New Roman"/>
          <w:sz w:val="24"/>
          <w:szCs w:val="24"/>
          <w:lang w:val="en-US"/>
        </w:rPr>
      </w:pPr>
      <w:r w:rsidRPr="00FF6DA8">
        <w:rPr>
          <w:rFonts w:ascii="Times New Roman" w:hAnsi="Times New Roman" w:cs="Times New Roman"/>
          <w:sz w:val="24"/>
          <w:szCs w:val="24"/>
          <w:lang w:val="en-US"/>
        </w:rPr>
        <w:t>Zone 2 (1260–1040 cm; ca. 12 500–10000 BP)</w:t>
      </w:r>
    </w:p>
    <w:p w:rsidR="00FF6DA8" w:rsidRPr="00FF6DA8" w:rsidRDefault="00FF6DA8" w:rsidP="00FF6DA8">
      <w:pPr>
        <w:jc w:val="both"/>
        <w:rPr>
          <w:rFonts w:ascii="Times New Roman" w:hAnsi="Times New Roman" w:cs="Times New Roman"/>
          <w:sz w:val="24"/>
          <w:szCs w:val="24"/>
          <w:lang w:val="en-US"/>
        </w:rPr>
      </w:pPr>
      <w:r w:rsidRPr="00FF6DA8">
        <w:rPr>
          <w:rFonts w:ascii="Times New Roman" w:hAnsi="Times New Roman" w:cs="Times New Roman"/>
          <w:sz w:val="24"/>
          <w:szCs w:val="24"/>
          <w:lang w:val="en-US"/>
        </w:rPr>
        <w:t>In the next zone, there is a marked decrease in the concentration of macroscopic charcoal, which can be linked to the cooling of the climate during the Younger Dryas and a decline in fire activity. In the first part of this zone, fires are still sporadically recorded, but in its upper part, macroscopic charcoal practically disappears. This change coincides with the transition from the Younger Dryas to the early Holocene and may reflect changes in vegetation and environmental conditions that affected fuel availability and fire dynamics in the landscape.</w:t>
      </w:r>
    </w:p>
    <w:p w:rsidR="00FF6DA8" w:rsidRPr="00FF6DA8" w:rsidRDefault="00FF6DA8" w:rsidP="00FF6DA8">
      <w:pPr>
        <w:jc w:val="both"/>
        <w:rPr>
          <w:rFonts w:ascii="Times New Roman" w:hAnsi="Times New Roman" w:cs="Times New Roman"/>
          <w:sz w:val="24"/>
          <w:szCs w:val="24"/>
          <w:lang w:val="en-US"/>
        </w:rPr>
      </w:pPr>
    </w:p>
    <w:p w:rsidR="00FF6DA8" w:rsidRPr="00FF6DA8" w:rsidRDefault="00FF6DA8" w:rsidP="00FF6DA8">
      <w:pPr>
        <w:jc w:val="both"/>
        <w:rPr>
          <w:rFonts w:ascii="Times New Roman" w:hAnsi="Times New Roman" w:cs="Times New Roman"/>
          <w:sz w:val="24"/>
          <w:szCs w:val="24"/>
          <w:lang w:val="en-US"/>
        </w:rPr>
      </w:pPr>
      <w:r w:rsidRPr="00FF6DA8">
        <w:rPr>
          <w:rFonts w:ascii="Times New Roman" w:hAnsi="Times New Roman" w:cs="Times New Roman"/>
          <w:sz w:val="24"/>
          <w:szCs w:val="24"/>
          <w:lang w:val="en-US"/>
        </w:rPr>
        <w:t>Zone 3 (1040–815 cm; ca. 10000–8200 BP)</w:t>
      </w:r>
    </w:p>
    <w:p w:rsidR="00FF6DA8" w:rsidRPr="00FF6DA8" w:rsidRDefault="00FF6DA8" w:rsidP="00FF6DA8">
      <w:pPr>
        <w:jc w:val="both"/>
        <w:rPr>
          <w:rFonts w:ascii="Times New Roman" w:hAnsi="Times New Roman" w:cs="Times New Roman"/>
          <w:sz w:val="24"/>
          <w:szCs w:val="24"/>
          <w:lang w:val="en-US"/>
        </w:rPr>
      </w:pPr>
      <w:r w:rsidRPr="00FF6DA8">
        <w:rPr>
          <w:rFonts w:ascii="Times New Roman" w:hAnsi="Times New Roman" w:cs="Times New Roman"/>
          <w:sz w:val="24"/>
          <w:szCs w:val="24"/>
          <w:lang w:val="en-US"/>
        </w:rPr>
        <w:t>The charcoal record indicates a renewed increase in fire activity, which may be related to the warmest period of the Holocene, when climatic conditions were warmer and drier and could have favored the occurrence of fires. Increased activity in this time was observed also in the Polish Western Carpathians by Kołaczek (2021). Two clusters of peaks are visible in this zone – one at the beginning and the other near the end – separated by a period of very low charcoal influx. The second set of peaks in particular coincides with a marked decline in trees and shrubs influx, which may indicate local fires leading to a temporary reduction in tree cover in the vicinity of the site.</w:t>
      </w:r>
    </w:p>
    <w:p w:rsidR="00FF6DA8" w:rsidRPr="00FF6DA8" w:rsidRDefault="00FF6DA8" w:rsidP="00FF6DA8">
      <w:pPr>
        <w:jc w:val="both"/>
        <w:rPr>
          <w:rFonts w:ascii="Times New Roman" w:hAnsi="Times New Roman" w:cs="Times New Roman"/>
          <w:sz w:val="24"/>
          <w:szCs w:val="24"/>
          <w:lang w:val="en-US"/>
        </w:rPr>
      </w:pPr>
    </w:p>
    <w:p w:rsidR="00FF6DA8" w:rsidRPr="00FF6DA8" w:rsidRDefault="00FF6DA8" w:rsidP="00FF6DA8">
      <w:pPr>
        <w:jc w:val="both"/>
        <w:rPr>
          <w:rFonts w:ascii="Times New Roman" w:hAnsi="Times New Roman" w:cs="Times New Roman"/>
          <w:sz w:val="24"/>
          <w:szCs w:val="24"/>
          <w:lang w:val="en-US"/>
        </w:rPr>
      </w:pPr>
      <w:r w:rsidRPr="00FF6DA8">
        <w:rPr>
          <w:rFonts w:ascii="Times New Roman" w:hAnsi="Times New Roman" w:cs="Times New Roman"/>
          <w:sz w:val="24"/>
          <w:szCs w:val="24"/>
          <w:lang w:val="en-US"/>
        </w:rPr>
        <w:t>Zone 4 (815–180- cm; ca. 8200–1600 BP)</w:t>
      </w:r>
    </w:p>
    <w:p w:rsidR="00FF6DA8" w:rsidRPr="00FF6DA8" w:rsidRDefault="00FF6DA8" w:rsidP="00FF6DA8">
      <w:pPr>
        <w:jc w:val="both"/>
        <w:rPr>
          <w:rFonts w:ascii="Times New Roman" w:hAnsi="Times New Roman" w:cs="Times New Roman"/>
          <w:sz w:val="24"/>
          <w:szCs w:val="24"/>
          <w:lang w:val="en-US"/>
        </w:rPr>
      </w:pPr>
      <w:r w:rsidRPr="00FF6DA8">
        <w:rPr>
          <w:rFonts w:ascii="Times New Roman" w:hAnsi="Times New Roman" w:cs="Times New Roman"/>
          <w:sz w:val="24"/>
          <w:szCs w:val="24"/>
          <w:lang w:val="en-US"/>
        </w:rPr>
        <w:lastRenderedPageBreak/>
        <w:t>This zone is characterized by the lowest concentrations and influx values of macroscopic charcoal throughout the core, indicating very low fire activity. Similarly, Kołaczek (2021) observed a decline in fire activity approximately 8,000 years ago in the Polish Western Carpatians. This may be related to climate cooling. However, local sedimentation processes may also have influenced this record. The gradual shallowing of the reservoir may have limited the redeposition of sedimentary material. Ultimately, about 3,000 years ago, the lake was transformed into a peat bog, as indicated by the change in sediment type from gyttja to peat. These changes may have affected the accumulation and preservation of macroscopic charcoal in the sediments.</w:t>
      </w:r>
    </w:p>
    <w:p w:rsidR="00FF6DA8" w:rsidRPr="00FF6DA8" w:rsidRDefault="00FF6DA8" w:rsidP="00FF6DA8">
      <w:pPr>
        <w:jc w:val="both"/>
        <w:rPr>
          <w:rFonts w:ascii="Times New Roman" w:hAnsi="Times New Roman" w:cs="Times New Roman"/>
          <w:sz w:val="24"/>
          <w:szCs w:val="24"/>
          <w:lang w:val="en-US"/>
        </w:rPr>
      </w:pPr>
    </w:p>
    <w:p w:rsidR="00FF6DA8" w:rsidRPr="00FF6DA8" w:rsidRDefault="00FF6DA8" w:rsidP="00FF6DA8">
      <w:pPr>
        <w:jc w:val="both"/>
        <w:rPr>
          <w:rFonts w:ascii="Times New Roman" w:hAnsi="Times New Roman" w:cs="Times New Roman"/>
          <w:sz w:val="24"/>
          <w:szCs w:val="24"/>
          <w:lang w:val="en-US"/>
        </w:rPr>
      </w:pPr>
      <w:r w:rsidRPr="00FF6DA8">
        <w:rPr>
          <w:rFonts w:ascii="Times New Roman" w:hAnsi="Times New Roman" w:cs="Times New Roman"/>
          <w:sz w:val="24"/>
          <w:szCs w:val="24"/>
          <w:lang w:val="en-US"/>
        </w:rPr>
        <w:t>Zone 5 (180–0 cm; ca. 1600–64 BP)</w:t>
      </w:r>
    </w:p>
    <w:p w:rsidR="00FF6DA8" w:rsidRPr="00FF6DA8" w:rsidRDefault="00FF6DA8" w:rsidP="00FF6DA8">
      <w:pPr>
        <w:jc w:val="both"/>
        <w:rPr>
          <w:rFonts w:ascii="Times New Roman" w:hAnsi="Times New Roman" w:cs="Times New Roman"/>
          <w:sz w:val="24"/>
          <w:szCs w:val="24"/>
          <w:lang w:val="en-US"/>
        </w:rPr>
      </w:pPr>
      <w:r w:rsidRPr="00FF6DA8">
        <w:rPr>
          <w:rFonts w:ascii="Times New Roman" w:hAnsi="Times New Roman" w:cs="Times New Roman"/>
          <w:sz w:val="24"/>
          <w:szCs w:val="24"/>
          <w:lang w:val="en-US"/>
        </w:rPr>
        <w:t>An increase in fire activity has been observed in this zone, which was probably significantly influenced by human presence and growing anthropogenic activity. However, the intensification of fires probably occurred later than in regions such as Central and Western Europe (Bonk et al., 2022).</w:t>
      </w:r>
    </w:p>
    <w:p w:rsidR="00FF6DA8" w:rsidRPr="00FF6DA8" w:rsidRDefault="00FF6DA8" w:rsidP="00FF6DA8">
      <w:pPr>
        <w:jc w:val="both"/>
        <w:rPr>
          <w:rFonts w:ascii="Times New Roman" w:hAnsi="Times New Roman" w:cs="Times New Roman"/>
          <w:sz w:val="24"/>
          <w:szCs w:val="24"/>
          <w:lang w:val="en-US"/>
        </w:rPr>
      </w:pPr>
    </w:p>
    <w:p w:rsidR="00FF6DA8" w:rsidRPr="00FF6DA8" w:rsidRDefault="00FF6DA8" w:rsidP="00FF6DA8">
      <w:pPr>
        <w:jc w:val="both"/>
        <w:rPr>
          <w:rFonts w:ascii="Times New Roman" w:hAnsi="Times New Roman" w:cs="Times New Roman"/>
          <w:sz w:val="24"/>
          <w:szCs w:val="24"/>
          <w:lang w:val="en-US"/>
        </w:rPr>
      </w:pPr>
    </w:p>
    <w:p w:rsidR="00FF6DA8" w:rsidRPr="00FF6DA8" w:rsidRDefault="00FF6DA8" w:rsidP="00FF6DA8">
      <w:pPr>
        <w:jc w:val="both"/>
        <w:rPr>
          <w:rFonts w:ascii="Times New Roman" w:hAnsi="Times New Roman" w:cs="Times New Roman"/>
          <w:b/>
          <w:bCs/>
          <w:sz w:val="24"/>
          <w:szCs w:val="24"/>
          <w:lang w:val="pl-PL"/>
        </w:rPr>
      </w:pPr>
      <w:r w:rsidRPr="00FF6DA8">
        <w:rPr>
          <w:rFonts w:ascii="Times New Roman" w:hAnsi="Times New Roman" w:cs="Times New Roman"/>
          <w:b/>
          <w:bCs/>
          <w:sz w:val="24"/>
          <w:szCs w:val="24"/>
          <w:lang w:val="pl-PL"/>
        </w:rPr>
        <w:t>References</w:t>
      </w:r>
    </w:p>
    <w:p w:rsidR="00FF6DA8" w:rsidRPr="00FF6DA8" w:rsidRDefault="00FF6DA8" w:rsidP="00FF6DA8">
      <w:pPr>
        <w:rPr>
          <w:rFonts w:ascii="Times New Roman" w:hAnsi="Times New Roman" w:cs="Times New Roman"/>
          <w:sz w:val="24"/>
          <w:szCs w:val="24"/>
          <w:lang w:val="en-US"/>
        </w:rPr>
      </w:pPr>
      <w:r w:rsidRPr="00FF6DA8">
        <w:rPr>
          <w:rFonts w:ascii="Times New Roman" w:hAnsi="Times New Roman" w:cs="Times New Roman"/>
          <w:sz w:val="24"/>
          <w:szCs w:val="24"/>
          <w:lang w:val="pl-PL"/>
        </w:rPr>
        <w:t>1.</w:t>
      </w:r>
      <w:r w:rsidRPr="00FF6DA8">
        <w:rPr>
          <w:rFonts w:ascii="Times New Roman" w:hAnsi="Times New Roman" w:cs="Times New Roman"/>
          <w:sz w:val="24"/>
          <w:szCs w:val="24"/>
          <w:lang w:val="pl-PL"/>
        </w:rPr>
        <w:tab/>
        <w:t xml:space="preserve">Bonk, A., Słowiński, M., Żarczyński, M., Oliński, P., Kupryjanowicz, M., Fiłoc, M., &amp; Tylmann, W. (2022). </w:t>
      </w:r>
      <w:r w:rsidRPr="00FF6DA8">
        <w:rPr>
          <w:rFonts w:ascii="Times New Roman" w:hAnsi="Times New Roman" w:cs="Times New Roman"/>
          <w:sz w:val="24"/>
          <w:szCs w:val="24"/>
          <w:lang w:val="en-US"/>
        </w:rPr>
        <w:t>Tracking fire activity and post-fire limnological responses using the varved sedimentary sequence of Lake Jaczno, Poland. The Holocene, 32(6), 515–528.</w:t>
      </w:r>
    </w:p>
    <w:p w:rsidR="00FF6DA8" w:rsidRPr="00FF6DA8" w:rsidRDefault="00FF6DA8" w:rsidP="00FF6DA8">
      <w:pPr>
        <w:rPr>
          <w:rFonts w:ascii="Times New Roman" w:hAnsi="Times New Roman" w:cs="Times New Roman"/>
          <w:sz w:val="24"/>
          <w:szCs w:val="24"/>
          <w:lang w:val="en-US"/>
        </w:rPr>
      </w:pPr>
      <w:r w:rsidRPr="00FF6DA8">
        <w:rPr>
          <w:rFonts w:ascii="Times New Roman" w:hAnsi="Times New Roman" w:cs="Times New Roman"/>
          <w:sz w:val="24"/>
          <w:szCs w:val="24"/>
          <w:lang w:val="en-US"/>
        </w:rPr>
        <w:t>2.</w:t>
      </w:r>
      <w:r w:rsidRPr="00FF6DA8">
        <w:rPr>
          <w:rFonts w:ascii="Times New Roman" w:hAnsi="Times New Roman" w:cs="Times New Roman"/>
          <w:sz w:val="24"/>
          <w:szCs w:val="24"/>
          <w:lang w:val="en-US"/>
        </w:rPr>
        <w:tab/>
        <w:t>Clark, J. S. (1988). Stratigraphic charcoal analysis on petrographic thin sections: Application to fire history in northwestern Minnesota. Quaternary Research, 30(1), 81–91.</w:t>
      </w:r>
    </w:p>
    <w:p w:rsidR="00FF6DA8" w:rsidRPr="00FF6DA8" w:rsidRDefault="00FF6DA8" w:rsidP="00FF6DA8">
      <w:pPr>
        <w:rPr>
          <w:rFonts w:ascii="Times New Roman" w:hAnsi="Times New Roman" w:cs="Times New Roman"/>
          <w:sz w:val="24"/>
          <w:szCs w:val="24"/>
          <w:lang w:val="en-US"/>
        </w:rPr>
      </w:pPr>
      <w:r w:rsidRPr="00FF6DA8">
        <w:rPr>
          <w:rFonts w:ascii="Times New Roman" w:hAnsi="Times New Roman" w:cs="Times New Roman"/>
          <w:sz w:val="24"/>
          <w:szCs w:val="24"/>
          <w:lang w:val="en-US"/>
        </w:rPr>
        <w:t>3.</w:t>
      </w:r>
      <w:r w:rsidRPr="00FF6DA8">
        <w:rPr>
          <w:rFonts w:ascii="Times New Roman" w:hAnsi="Times New Roman" w:cs="Times New Roman"/>
          <w:sz w:val="24"/>
          <w:szCs w:val="24"/>
          <w:lang w:val="en-US"/>
        </w:rPr>
        <w:tab/>
        <w:t>Enache, M. D., &amp; Cumming, B. F. (2007). Charcoal morphotypes in lake sediments from British Columbia (Canada): an assessment of their utility for the reconstruction of past fire and precipitation. Journal of Paleolimnology, 38(3), 347–363.</w:t>
      </w:r>
    </w:p>
    <w:p w:rsidR="00FF6DA8" w:rsidRPr="00FF6DA8" w:rsidRDefault="00FF6DA8" w:rsidP="00FF6DA8">
      <w:pPr>
        <w:rPr>
          <w:rFonts w:ascii="Times New Roman" w:hAnsi="Times New Roman" w:cs="Times New Roman"/>
          <w:sz w:val="24"/>
          <w:szCs w:val="24"/>
          <w:lang w:val="en-US"/>
        </w:rPr>
      </w:pPr>
      <w:r w:rsidRPr="00FF6DA8">
        <w:rPr>
          <w:rFonts w:ascii="Times New Roman" w:hAnsi="Times New Roman" w:cs="Times New Roman"/>
          <w:sz w:val="24"/>
          <w:szCs w:val="24"/>
          <w:lang w:val="en-US"/>
        </w:rPr>
        <w:t>4.</w:t>
      </w:r>
      <w:r w:rsidRPr="00FF6DA8">
        <w:rPr>
          <w:rFonts w:ascii="Times New Roman" w:hAnsi="Times New Roman" w:cs="Times New Roman"/>
          <w:sz w:val="24"/>
          <w:szCs w:val="24"/>
          <w:lang w:val="en-US"/>
        </w:rPr>
        <w:tab/>
        <w:t>Gardner, J. J., &amp; Whitlock, C. (2001). Charcoal accumulation following a recent fire in the Cascade Range, northwestern USA, and its relevance for fire-history studies. The Holocene, 11(5), 541–549.</w:t>
      </w:r>
    </w:p>
    <w:p w:rsidR="00FF6DA8" w:rsidRPr="00FF6DA8" w:rsidRDefault="00FF6DA8" w:rsidP="00FF6DA8">
      <w:pPr>
        <w:rPr>
          <w:rFonts w:ascii="Times New Roman" w:hAnsi="Times New Roman" w:cs="Times New Roman"/>
          <w:sz w:val="24"/>
          <w:szCs w:val="24"/>
          <w:lang w:val="pl-PL"/>
        </w:rPr>
      </w:pPr>
      <w:r w:rsidRPr="00FF6DA8">
        <w:rPr>
          <w:rFonts w:ascii="Times New Roman" w:hAnsi="Times New Roman" w:cs="Times New Roman"/>
          <w:sz w:val="24"/>
          <w:szCs w:val="24"/>
          <w:lang w:val="en-US"/>
        </w:rPr>
        <w:t>5.</w:t>
      </w:r>
      <w:r w:rsidRPr="00FF6DA8">
        <w:rPr>
          <w:rFonts w:ascii="Times New Roman" w:hAnsi="Times New Roman" w:cs="Times New Roman"/>
          <w:sz w:val="24"/>
          <w:szCs w:val="24"/>
          <w:lang w:val="en-US"/>
        </w:rPr>
        <w:tab/>
        <w:t xml:space="preserve">Gedminienė, L., Spiridonov, A., Stančikaitė, M., et al. (2025). Temporal and spatial climate changes in the mid-Baltic region in the Late Glacial and the Holocene: Pollen-based reconstructions. </w:t>
      </w:r>
      <w:r w:rsidRPr="00FF6DA8">
        <w:rPr>
          <w:rFonts w:ascii="Times New Roman" w:hAnsi="Times New Roman" w:cs="Times New Roman"/>
          <w:sz w:val="24"/>
          <w:szCs w:val="24"/>
          <w:lang w:val="pl-PL"/>
        </w:rPr>
        <w:t>CATENA, 252, 108851.</w:t>
      </w:r>
    </w:p>
    <w:p w:rsidR="00FF6DA8" w:rsidRPr="00FF6DA8" w:rsidRDefault="00FF6DA8" w:rsidP="00FF6DA8">
      <w:pPr>
        <w:rPr>
          <w:rFonts w:ascii="Times New Roman" w:hAnsi="Times New Roman" w:cs="Times New Roman"/>
          <w:sz w:val="24"/>
          <w:szCs w:val="24"/>
          <w:lang w:val="pl-PL"/>
        </w:rPr>
      </w:pPr>
      <w:r w:rsidRPr="00FF6DA8">
        <w:rPr>
          <w:rFonts w:ascii="Times New Roman" w:hAnsi="Times New Roman" w:cs="Times New Roman"/>
          <w:sz w:val="24"/>
          <w:szCs w:val="24"/>
          <w:lang w:val="pl-PL"/>
        </w:rPr>
        <w:t>6.</w:t>
      </w:r>
      <w:r w:rsidRPr="00FF6DA8">
        <w:rPr>
          <w:rFonts w:ascii="Times New Roman" w:hAnsi="Times New Roman" w:cs="Times New Roman"/>
          <w:sz w:val="24"/>
          <w:szCs w:val="24"/>
          <w:lang w:val="pl-PL"/>
        </w:rPr>
        <w:tab/>
        <w:t xml:space="preserve">Kołaczek, P., Buczek, K., Margielewski, W., Gałka, M., Rycerz, A., Woszczyk, M., ... </w:t>
      </w:r>
      <w:r w:rsidRPr="00FF6DA8">
        <w:rPr>
          <w:rFonts w:ascii="Times New Roman" w:hAnsi="Times New Roman" w:cs="Times New Roman"/>
          <w:sz w:val="24"/>
          <w:szCs w:val="24"/>
          <w:lang w:val="en-US"/>
        </w:rPr>
        <w:t xml:space="preserve">&amp; Marcisz, K. (2021). Development and degradation of a submontane forest in the Beskid Wyspowy Mountains (Polish Western Carpathians) during the Holocene. </w:t>
      </w:r>
      <w:r w:rsidRPr="00FF6DA8">
        <w:rPr>
          <w:rFonts w:ascii="Times New Roman" w:hAnsi="Times New Roman" w:cs="Times New Roman"/>
          <w:sz w:val="24"/>
          <w:szCs w:val="24"/>
          <w:lang w:val="pl-PL"/>
        </w:rPr>
        <w:t>The Holocene, 31(11–12), 1716–1732.</w:t>
      </w:r>
    </w:p>
    <w:p w:rsidR="00FF6DA8" w:rsidRPr="00FF6DA8" w:rsidRDefault="00FF6DA8" w:rsidP="00FF6DA8">
      <w:pPr>
        <w:rPr>
          <w:rFonts w:ascii="Times New Roman" w:hAnsi="Times New Roman" w:cs="Times New Roman"/>
          <w:sz w:val="24"/>
          <w:szCs w:val="24"/>
          <w:lang w:val="en-US"/>
        </w:rPr>
      </w:pPr>
      <w:r w:rsidRPr="00FF6DA8">
        <w:rPr>
          <w:rFonts w:ascii="Times New Roman" w:hAnsi="Times New Roman" w:cs="Times New Roman"/>
          <w:sz w:val="24"/>
          <w:szCs w:val="24"/>
          <w:lang w:val="pl-PL"/>
        </w:rPr>
        <w:t>7.</w:t>
      </w:r>
      <w:r w:rsidRPr="00FF6DA8">
        <w:rPr>
          <w:rFonts w:ascii="Times New Roman" w:hAnsi="Times New Roman" w:cs="Times New Roman"/>
          <w:sz w:val="24"/>
          <w:szCs w:val="24"/>
          <w:lang w:val="pl-PL"/>
        </w:rPr>
        <w:tab/>
        <w:t xml:space="preserve">Moska, P., Sokołowski, R. J., Zieliński, P., et al. </w:t>
      </w:r>
      <w:r w:rsidRPr="00FF6DA8">
        <w:rPr>
          <w:rFonts w:ascii="Times New Roman" w:hAnsi="Times New Roman" w:cs="Times New Roman"/>
          <w:sz w:val="24"/>
          <w:szCs w:val="24"/>
          <w:lang w:val="en-US"/>
        </w:rPr>
        <w:t>(2023). The role and frequency of wildfires in the shaping of the Late Glacial Inland Dunes – A case study from the Korzeniew Site (Central Poland). Geochronometria, 50(1), 100–112.</w:t>
      </w:r>
    </w:p>
    <w:p w:rsidR="00FF6DA8" w:rsidRPr="00FF6DA8" w:rsidRDefault="00FF6DA8" w:rsidP="00FF6DA8">
      <w:pPr>
        <w:rPr>
          <w:rFonts w:ascii="Times New Roman" w:hAnsi="Times New Roman" w:cs="Times New Roman"/>
          <w:sz w:val="24"/>
          <w:szCs w:val="24"/>
          <w:lang w:val="en-US"/>
        </w:rPr>
      </w:pPr>
      <w:r w:rsidRPr="00FF6DA8">
        <w:rPr>
          <w:rFonts w:ascii="Times New Roman" w:hAnsi="Times New Roman" w:cs="Times New Roman"/>
          <w:sz w:val="24"/>
          <w:szCs w:val="24"/>
          <w:lang w:val="en-US"/>
        </w:rPr>
        <w:t>8.</w:t>
      </w:r>
      <w:r w:rsidRPr="00FF6DA8">
        <w:rPr>
          <w:rFonts w:ascii="Times New Roman" w:hAnsi="Times New Roman" w:cs="Times New Roman"/>
          <w:sz w:val="24"/>
          <w:szCs w:val="24"/>
          <w:lang w:val="en-US"/>
        </w:rPr>
        <w:tab/>
        <w:t>Tinner, W., Conedera, M., Ammann, B., et al. (1998). Pollen and charcoal in lake sediments compared with historically documented forest fires in southern Switzerland since AD 1920. The Holocene, 8(1), 31–42.</w:t>
      </w:r>
    </w:p>
    <w:p w:rsidR="00FF6DA8" w:rsidRPr="00FF6DA8" w:rsidRDefault="00FF6DA8" w:rsidP="00FF6DA8">
      <w:pPr>
        <w:rPr>
          <w:rFonts w:ascii="Times New Roman" w:hAnsi="Times New Roman" w:cs="Times New Roman"/>
          <w:sz w:val="24"/>
          <w:szCs w:val="24"/>
          <w:lang w:val="en-US"/>
        </w:rPr>
      </w:pPr>
      <w:r w:rsidRPr="00FF6DA8">
        <w:rPr>
          <w:rFonts w:ascii="Times New Roman" w:hAnsi="Times New Roman" w:cs="Times New Roman"/>
          <w:sz w:val="24"/>
          <w:szCs w:val="24"/>
          <w:lang w:val="en-US"/>
        </w:rPr>
        <w:lastRenderedPageBreak/>
        <w:t>9.</w:t>
      </w:r>
      <w:r w:rsidRPr="00FF6DA8">
        <w:rPr>
          <w:rFonts w:ascii="Times New Roman" w:hAnsi="Times New Roman" w:cs="Times New Roman"/>
          <w:sz w:val="24"/>
          <w:szCs w:val="24"/>
          <w:lang w:val="en-US"/>
        </w:rPr>
        <w:tab/>
        <w:t xml:space="preserve">Van der Hammen, T., &amp; Van Geel, B. (2008). Charcoal in soils of the Allerød–Younger Dryas transition </w:t>
      </w:r>
      <w:proofErr w:type="gramStart"/>
      <w:r w:rsidRPr="00FF6DA8">
        <w:rPr>
          <w:rFonts w:ascii="Times New Roman" w:hAnsi="Times New Roman" w:cs="Times New Roman"/>
          <w:sz w:val="24"/>
          <w:szCs w:val="24"/>
          <w:lang w:val="en-US"/>
        </w:rPr>
        <w:t>were</w:t>
      </w:r>
      <w:proofErr w:type="gramEnd"/>
      <w:r w:rsidRPr="00FF6DA8">
        <w:rPr>
          <w:rFonts w:ascii="Times New Roman" w:hAnsi="Times New Roman" w:cs="Times New Roman"/>
          <w:sz w:val="24"/>
          <w:szCs w:val="24"/>
          <w:lang w:val="en-US"/>
        </w:rPr>
        <w:t xml:space="preserve"> the result of natural fires and not necessarily the effect of an extra-terrestrial impact. Netherlands Journal of Geosciences, 87(4), 359–361.</w:t>
      </w:r>
    </w:p>
    <w:p w:rsidR="00FF6DA8" w:rsidRPr="00FF6DA8" w:rsidRDefault="00FF6DA8" w:rsidP="00FF6DA8">
      <w:pPr>
        <w:jc w:val="both"/>
        <w:rPr>
          <w:rFonts w:ascii="Times New Roman" w:hAnsi="Times New Roman" w:cs="Times New Roman"/>
          <w:sz w:val="24"/>
          <w:szCs w:val="24"/>
          <w:lang w:val="en-US"/>
        </w:rPr>
      </w:pPr>
    </w:p>
    <w:p w:rsidR="00FF6DA8" w:rsidRPr="00FF6DA8" w:rsidRDefault="00FF6DA8" w:rsidP="00FF6DA8">
      <w:pPr>
        <w:jc w:val="both"/>
        <w:rPr>
          <w:rFonts w:ascii="Times New Roman" w:hAnsi="Times New Roman" w:cs="Times New Roman"/>
          <w:sz w:val="24"/>
          <w:szCs w:val="24"/>
          <w:lang w:val="en-US"/>
        </w:rPr>
      </w:pPr>
    </w:p>
    <w:p w:rsidR="00D461B8" w:rsidRPr="00FF6DA8" w:rsidRDefault="00D461B8" w:rsidP="00FF6DA8">
      <w:pPr>
        <w:jc w:val="both"/>
        <w:rPr>
          <w:rFonts w:ascii="Times New Roman" w:hAnsi="Times New Roman" w:cs="Times New Roman"/>
          <w:sz w:val="24"/>
          <w:szCs w:val="24"/>
          <w:lang w:val="en-US"/>
        </w:rPr>
      </w:pPr>
    </w:p>
    <w:sectPr w:rsidR="00D461B8" w:rsidRPr="00FF6DA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6DA8"/>
    <w:rsid w:val="000A669A"/>
    <w:rsid w:val="000B4D70"/>
    <w:rsid w:val="00146CD0"/>
    <w:rsid w:val="00171C05"/>
    <w:rsid w:val="0017663A"/>
    <w:rsid w:val="002F432D"/>
    <w:rsid w:val="00352125"/>
    <w:rsid w:val="0042692A"/>
    <w:rsid w:val="00434343"/>
    <w:rsid w:val="00452117"/>
    <w:rsid w:val="00467C19"/>
    <w:rsid w:val="004972F6"/>
    <w:rsid w:val="004F2C4E"/>
    <w:rsid w:val="005F29CA"/>
    <w:rsid w:val="006D12DE"/>
    <w:rsid w:val="00710C0B"/>
    <w:rsid w:val="00745C9A"/>
    <w:rsid w:val="00757E6C"/>
    <w:rsid w:val="007D7420"/>
    <w:rsid w:val="00832BE7"/>
    <w:rsid w:val="00923974"/>
    <w:rsid w:val="009F6782"/>
    <w:rsid w:val="00A548A6"/>
    <w:rsid w:val="00A73026"/>
    <w:rsid w:val="00B238AB"/>
    <w:rsid w:val="00B374C9"/>
    <w:rsid w:val="00D26785"/>
    <w:rsid w:val="00D30C1B"/>
    <w:rsid w:val="00D461B8"/>
    <w:rsid w:val="00E445F6"/>
    <w:rsid w:val="00F04912"/>
    <w:rsid w:val="00F4564A"/>
    <w:rsid w:val="00FF6D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4:docId w14:val="374889EF"/>
  <w15:chartTrackingRefBased/>
  <w15:docId w15:val="{D0693833-E6F8-F848-A918-C452BD8E3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F6DA8"/>
    <w:pPr>
      <w:spacing w:line="276" w:lineRule="auto"/>
    </w:pPr>
    <w:rPr>
      <w:rFonts w:ascii="Arial" w:eastAsia="Arial" w:hAnsi="Arial" w:cs="Arial"/>
      <w:kern w:val="0"/>
      <w:sz w:val="22"/>
      <w:szCs w:val="22"/>
      <w:lang w:val="pl"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1464</Words>
  <Characters>8784</Characters>
  <Application>Microsoft Office Word</Application>
  <DocSecurity>0</DocSecurity>
  <Lines>73</Lines>
  <Paragraphs>20</Paragraphs>
  <ScaleCrop>false</ScaleCrop>
  <Company/>
  <LinksUpToDate>false</LinksUpToDate>
  <CharactersWithSpaces>10228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 Łuców</dc:creator>
  <cp:keywords/>
  <dc:description/>
  <cp:lastModifiedBy>Dominika Łuców</cp:lastModifiedBy>
  <cp:revision>1</cp:revision>
  <dcterms:created xsi:type="dcterms:W3CDTF">2026-03-07T14:54:00Z</dcterms:created>
  <dcterms:modified xsi:type="dcterms:W3CDTF">2026-03-07T14:57:00Z</dcterms:modified>
</cp:coreProperties>
</file>