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101DF" w14:textId="0674AED5" w:rsidR="00DB3EEB" w:rsidRPr="001F4007" w:rsidRDefault="00DB3EEB" w:rsidP="00DB3EEB">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Stone Age sites in the </w:t>
      </w:r>
      <w:proofErr w:type="spellStart"/>
      <w:r w:rsidR="007824BD" w:rsidRPr="001F4007">
        <w:rPr>
          <w:rFonts w:ascii="Times New Roman" w:hAnsi="Times New Roman"/>
          <w:sz w:val="24"/>
          <w:szCs w:val="24"/>
          <w:lang w:val="en-GB"/>
        </w:rPr>
        <w:t>Serteya</w:t>
      </w:r>
      <w:proofErr w:type="spellEnd"/>
      <w:r w:rsidR="007824BD" w:rsidRPr="001F4007">
        <w:rPr>
          <w:rFonts w:ascii="Times New Roman" w:hAnsi="Times New Roman"/>
          <w:sz w:val="24"/>
          <w:szCs w:val="24"/>
          <w:lang w:val="en-GB"/>
        </w:rPr>
        <w:t xml:space="preserve"> </w:t>
      </w:r>
      <w:r w:rsidR="00C87801" w:rsidRPr="001F4007">
        <w:rPr>
          <w:rFonts w:ascii="Times New Roman" w:hAnsi="Times New Roman"/>
          <w:sz w:val="24"/>
          <w:szCs w:val="24"/>
          <w:lang w:val="en-GB"/>
        </w:rPr>
        <w:t>microregion</w:t>
      </w:r>
      <w:r w:rsidRPr="001F4007">
        <w:rPr>
          <w:rFonts w:ascii="Times New Roman" w:hAnsi="Times New Roman"/>
          <w:sz w:val="24"/>
          <w:szCs w:val="24"/>
          <w:lang w:val="en-GB"/>
        </w:rPr>
        <w:t xml:space="preserve"> are localized away from the Western Dvina River, on the banks of small tributaries and </w:t>
      </w:r>
      <w:r w:rsidR="001F4007" w:rsidRPr="001F4007">
        <w:rPr>
          <w:rFonts w:ascii="Times New Roman" w:hAnsi="Times New Roman"/>
          <w:sz w:val="24"/>
          <w:szCs w:val="24"/>
          <w:lang w:val="en-GB"/>
        </w:rPr>
        <w:t xml:space="preserve">shores of </w:t>
      </w:r>
      <w:r w:rsidRPr="001F4007">
        <w:rPr>
          <w:rFonts w:ascii="Times New Roman" w:hAnsi="Times New Roman"/>
          <w:sz w:val="24"/>
          <w:szCs w:val="24"/>
          <w:lang w:val="en-GB"/>
        </w:rPr>
        <w:t xml:space="preserve">lakes, and are distant from the main artery by several hundred metres or several kilometres. The relative scarcity of </w:t>
      </w:r>
      <w:r w:rsidR="001F4007">
        <w:rPr>
          <w:rFonts w:ascii="Times New Roman" w:hAnsi="Times New Roman"/>
          <w:sz w:val="24"/>
          <w:szCs w:val="24"/>
          <w:lang w:val="en-GB"/>
        </w:rPr>
        <w:t xml:space="preserve">camp-sites or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on the banks of large rivers could be explained by the fact that they were unsafe to live on, as they served as transport routes (</w:t>
      </w:r>
      <w:proofErr w:type="spellStart"/>
      <w:r w:rsidRPr="001F4007">
        <w:rPr>
          <w:rFonts w:ascii="Times New Roman" w:hAnsi="Times New Roman"/>
          <w:sz w:val="24"/>
          <w:szCs w:val="24"/>
          <w:lang w:val="en-GB"/>
        </w:rPr>
        <w:t>Kalechits</w:t>
      </w:r>
      <w:proofErr w:type="spellEnd"/>
      <w:r w:rsidRPr="001F4007">
        <w:rPr>
          <w:rFonts w:ascii="Times New Roman" w:hAnsi="Times New Roman"/>
          <w:sz w:val="24"/>
          <w:szCs w:val="24"/>
          <w:lang w:val="en-GB"/>
        </w:rPr>
        <w:t xml:space="preserve"> 2003, p. 162). A similar distribution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mainly along the tributaries of the main waterways, such as Volga, Don and Dnieper</w:t>
      </w:r>
      <w:r w:rsidR="001F4007">
        <w:rPr>
          <w:rFonts w:ascii="Times New Roman" w:hAnsi="Times New Roman"/>
          <w:sz w:val="24"/>
          <w:szCs w:val="24"/>
          <w:lang w:val="en-GB"/>
        </w:rPr>
        <w:t xml:space="preserve"> Rivers</w:t>
      </w:r>
      <w:r w:rsidRPr="001F4007">
        <w:rPr>
          <w:rFonts w:ascii="Times New Roman" w:hAnsi="Times New Roman"/>
          <w:sz w:val="24"/>
          <w:szCs w:val="24"/>
          <w:lang w:val="en-GB"/>
        </w:rPr>
        <w:t xml:space="preserve">, can be traced for the Early Neolithic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other cultures. </w:t>
      </w:r>
    </w:p>
    <w:p w14:paraId="34C1CAD6" w14:textId="4563DBBF" w:rsidR="00DB3EEB" w:rsidRPr="001F4007" w:rsidRDefault="00DB3EEB" w:rsidP="00DB3EEB">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are located in two groups in the northern and southern parts of the microregion and are separated from each other by uninhabited territory. The area between them is 70% excavated and there are rare occurrences of small flint artefacts, and it is difficult to determine their temporal provenance. This suggests an irregularity in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the </w:t>
      </w:r>
      <w:proofErr w:type="spellStart"/>
      <w:r w:rsidR="00C87801" w:rsidRPr="001F4007">
        <w:rPr>
          <w:rFonts w:ascii="Times New Roman" w:hAnsi="Times New Roman"/>
          <w:sz w:val="24"/>
          <w:szCs w:val="24"/>
          <w:lang w:val="en-GB"/>
        </w:rPr>
        <w:t>Sertey</w:t>
      </w:r>
      <w:r w:rsidR="008D562F">
        <w:rPr>
          <w:rFonts w:ascii="Times New Roman" w:hAnsi="Times New Roman"/>
          <w:sz w:val="24"/>
          <w:szCs w:val="24"/>
          <w:lang w:val="en-GB"/>
        </w:rPr>
        <w:t>a</w:t>
      </w:r>
      <w:proofErr w:type="spellEnd"/>
      <w:r w:rsidR="00C87801" w:rsidRPr="001F4007">
        <w:rPr>
          <w:rFonts w:ascii="Times New Roman" w:hAnsi="Times New Roman"/>
          <w:sz w:val="24"/>
          <w:szCs w:val="24"/>
          <w:lang w:val="en-GB"/>
        </w:rPr>
        <w:t xml:space="preserve"> microregion</w:t>
      </w:r>
      <w:r w:rsidRPr="001F4007">
        <w:rPr>
          <w:rFonts w:ascii="Times New Roman" w:hAnsi="Times New Roman"/>
          <w:sz w:val="24"/>
          <w:szCs w:val="24"/>
          <w:lang w:val="en-GB"/>
        </w:rPr>
        <w:t xml:space="preserve"> at different times. </w:t>
      </w:r>
    </w:p>
    <w:p w14:paraId="29F06023" w14:textId="64269870" w:rsidR="00DB3EEB" w:rsidRPr="001F4007" w:rsidRDefault="00DB3EEB" w:rsidP="00DB3EEB">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topographic location of the </w:t>
      </w:r>
      <w:r w:rsidR="008D562F">
        <w:rPr>
          <w:rFonts w:ascii="Times New Roman" w:hAnsi="Times New Roman"/>
          <w:sz w:val="24"/>
          <w:szCs w:val="24"/>
          <w:lang w:val="en-GB"/>
        </w:rPr>
        <w:t>most</w:t>
      </w:r>
      <w:r w:rsidRPr="001F4007">
        <w:rPr>
          <w:rFonts w:ascii="Times New Roman" w:hAnsi="Times New Roman"/>
          <w:sz w:val="24"/>
          <w:szCs w:val="24"/>
          <w:lang w:val="en-GB"/>
        </w:rPr>
        <w:t xml:space="preserve">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on the promontories of </w:t>
      </w:r>
      <w:proofErr w:type="spellStart"/>
      <w:r w:rsidRPr="001F4007">
        <w:rPr>
          <w:rFonts w:ascii="Times New Roman" w:hAnsi="Times New Roman"/>
          <w:sz w:val="24"/>
          <w:szCs w:val="24"/>
          <w:lang w:val="en-GB"/>
        </w:rPr>
        <w:t>pal</w:t>
      </w:r>
      <w:r w:rsidR="008D562F">
        <w:rPr>
          <w:rFonts w:ascii="Times New Roman" w:hAnsi="Times New Roman"/>
          <w:sz w:val="24"/>
          <w:szCs w:val="24"/>
          <w:lang w:val="en-GB"/>
        </w:rPr>
        <w:t>a</w:t>
      </w:r>
      <w:r w:rsidRPr="001F4007">
        <w:rPr>
          <w:rFonts w:ascii="Times New Roman" w:hAnsi="Times New Roman"/>
          <w:sz w:val="24"/>
          <w:szCs w:val="24"/>
          <w:lang w:val="en-GB"/>
        </w:rPr>
        <w:t>eolakes</w:t>
      </w:r>
      <w:proofErr w:type="spellEnd"/>
      <w:r w:rsidRPr="001F4007">
        <w:rPr>
          <w:rFonts w:ascii="Times New Roman" w:hAnsi="Times New Roman"/>
          <w:sz w:val="24"/>
          <w:szCs w:val="24"/>
          <w:lang w:val="en-GB"/>
        </w:rPr>
        <w:t xml:space="preserve"> at the confluence of ancient streams, </w:t>
      </w:r>
      <w:r w:rsidR="000325B3">
        <w:rPr>
          <w:rFonts w:ascii="Times New Roman" w:hAnsi="Times New Roman"/>
          <w:sz w:val="24"/>
          <w:szCs w:val="24"/>
          <w:lang w:val="en-GB"/>
        </w:rPr>
        <w:t xml:space="preserve">rivers joining </w:t>
      </w:r>
      <w:r w:rsidRPr="001F4007">
        <w:rPr>
          <w:rFonts w:ascii="Times New Roman" w:hAnsi="Times New Roman"/>
          <w:sz w:val="24"/>
          <w:szCs w:val="24"/>
          <w:lang w:val="en-GB"/>
        </w:rPr>
        <w:t>lake</w:t>
      </w:r>
      <w:r w:rsidR="000325B3">
        <w:rPr>
          <w:rFonts w:ascii="Times New Roman" w:hAnsi="Times New Roman"/>
          <w:sz w:val="24"/>
          <w:szCs w:val="24"/>
          <w:lang w:val="en-GB"/>
        </w:rPr>
        <w:t>s</w:t>
      </w:r>
      <w:r w:rsidRPr="001F4007">
        <w:rPr>
          <w:rFonts w:ascii="Times New Roman" w:hAnsi="Times New Roman"/>
          <w:sz w:val="24"/>
          <w:szCs w:val="24"/>
          <w:lang w:val="en-GB"/>
        </w:rPr>
        <w:t xml:space="preserve"> or on island</w:t>
      </w:r>
      <w:r w:rsidR="008D562F">
        <w:rPr>
          <w:rFonts w:ascii="Times New Roman" w:hAnsi="Times New Roman"/>
          <w:sz w:val="24"/>
          <w:szCs w:val="24"/>
          <w:lang w:val="en-GB"/>
        </w:rPr>
        <w:t>s</w:t>
      </w:r>
      <w:r w:rsidRPr="001F4007">
        <w:rPr>
          <w:rFonts w:ascii="Times New Roman" w:hAnsi="Times New Roman"/>
          <w:sz w:val="24"/>
          <w:szCs w:val="24"/>
          <w:lang w:val="en-GB"/>
        </w:rPr>
        <w:t xml:space="preserve"> (</w:t>
      </w:r>
      <w:r w:rsidRPr="001F4007">
        <w:rPr>
          <w:rFonts w:ascii="Times New Roman" w:hAnsi="Times New Roman"/>
          <w:i/>
          <w:sz w:val="24"/>
          <w:szCs w:val="24"/>
          <w:lang w:val="en-GB"/>
        </w:rPr>
        <w:t>type 1</w:t>
      </w:r>
      <w:r w:rsidRPr="001F4007">
        <w:rPr>
          <w:rFonts w:ascii="Times New Roman" w:hAnsi="Times New Roman"/>
          <w:sz w:val="24"/>
          <w:szCs w:val="24"/>
          <w:lang w:val="en-GB"/>
        </w:rPr>
        <w:t xml:space="preserve">). </w:t>
      </w:r>
    </w:p>
    <w:p w14:paraId="05A4F017" w14:textId="53F25D4C" w:rsidR="00DB3EEB" w:rsidRPr="001F4007" w:rsidRDefault="00DB3EEB" w:rsidP="00DB3EEB">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Reconstruction of the ancient landscape with geomagnetic survey data has shown that the monuments located on the plateaus along the sides of lake depressions </w:t>
      </w:r>
      <w:r w:rsidR="000325B3">
        <w:rPr>
          <w:rFonts w:ascii="Times New Roman" w:hAnsi="Times New Roman"/>
          <w:sz w:val="24"/>
          <w:szCs w:val="24"/>
          <w:lang w:val="en-GB"/>
        </w:rPr>
        <w:t>are concentrated within</w:t>
      </w:r>
      <w:r w:rsidRPr="001F4007">
        <w:rPr>
          <w:rFonts w:ascii="Times New Roman" w:hAnsi="Times New Roman"/>
          <w:sz w:val="24"/>
          <w:szCs w:val="24"/>
          <w:lang w:val="en-GB"/>
        </w:rPr>
        <w:t xml:space="preserve"> small depressions, protected from the north by escarpments at the points of maximum relief elevation (type 2) [Mazurkevich, Dolbunova, 2011]. In the northern part of the </w:t>
      </w:r>
      <w:proofErr w:type="spellStart"/>
      <w:r w:rsidRPr="001F4007">
        <w:rPr>
          <w:rFonts w:ascii="Times New Roman" w:hAnsi="Times New Roman"/>
          <w:sz w:val="24"/>
          <w:szCs w:val="24"/>
          <w:lang w:val="en-GB"/>
        </w:rPr>
        <w:t>Sertey</w:t>
      </w:r>
      <w:r w:rsidR="000325B3">
        <w:rPr>
          <w:rFonts w:ascii="Times New Roman" w:hAnsi="Times New Roman"/>
          <w:sz w:val="24"/>
          <w:szCs w:val="24"/>
          <w:lang w:val="en-GB"/>
        </w:rPr>
        <w:t>a</w:t>
      </w:r>
      <w:proofErr w:type="spellEnd"/>
      <w:r w:rsidRPr="001F4007">
        <w:rPr>
          <w:rFonts w:ascii="Times New Roman" w:hAnsi="Times New Roman"/>
          <w:sz w:val="24"/>
          <w:szCs w:val="24"/>
          <w:lang w:val="en-GB"/>
        </w:rPr>
        <w:t xml:space="preserve"> microregion the </w:t>
      </w:r>
      <w:proofErr w:type="spellStart"/>
      <w:r w:rsidR="00003182" w:rsidRPr="001F4007">
        <w:rPr>
          <w:rFonts w:ascii="Times New Roman" w:hAnsi="Times New Roman"/>
          <w:sz w:val="24"/>
          <w:szCs w:val="24"/>
          <w:lang w:val="en-GB"/>
        </w:rPr>
        <w:t>settlementss</w:t>
      </w:r>
      <w:proofErr w:type="spellEnd"/>
      <w:r w:rsidRPr="001F4007">
        <w:rPr>
          <w:rFonts w:ascii="Times New Roman" w:hAnsi="Times New Roman"/>
          <w:sz w:val="24"/>
          <w:szCs w:val="24"/>
          <w:lang w:val="en-GB"/>
        </w:rPr>
        <w:t xml:space="preserve"> were discovered, located in a chain on the plateau between the lacustrine depressions, which adjoin the main hollow. Animal migration routes continue along this upland. It is known that the animal migration routes have not changed significantly over time, as they also pass through suitable landforms, such as the isthmus between the lake basins on the right and left sides of the main basin.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here occupy advantageous elevation positions, allowing efficient survey of the terrain (type 3). </w:t>
      </w:r>
    </w:p>
    <w:p w14:paraId="239B5FE0" w14:textId="614FD611" w:rsidR="00DB3EEB" w:rsidRPr="001F4007" w:rsidRDefault="00DB3EEB" w:rsidP="00DB3EEB">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When </w:t>
      </w:r>
      <w:proofErr w:type="spellStart"/>
      <w:r w:rsidRPr="001F4007">
        <w:rPr>
          <w:rFonts w:ascii="Times New Roman" w:hAnsi="Times New Roman"/>
          <w:sz w:val="24"/>
          <w:szCs w:val="24"/>
          <w:lang w:val="en-GB"/>
        </w:rPr>
        <w:t>analyzing</w:t>
      </w:r>
      <w:proofErr w:type="spellEnd"/>
      <w:r w:rsidRPr="001F4007">
        <w:rPr>
          <w:rFonts w:ascii="Times New Roman" w:hAnsi="Times New Roman"/>
          <w:sz w:val="24"/>
          <w:szCs w:val="24"/>
          <w:lang w:val="en-GB"/>
        </w:rPr>
        <w:t xml:space="preserve"> the GIS-modelled "water passage" from the Western Dvina along the Serte</w:t>
      </w:r>
      <w:r w:rsidR="000325B3">
        <w:rPr>
          <w:rFonts w:ascii="Times New Roman" w:hAnsi="Times New Roman"/>
          <w:sz w:val="24"/>
          <w:szCs w:val="24"/>
          <w:lang w:val="en-GB"/>
        </w:rPr>
        <w:t>y</w:t>
      </w:r>
      <w:r w:rsidRPr="001F4007">
        <w:rPr>
          <w:rFonts w:ascii="Times New Roman" w:hAnsi="Times New Roman"/>
          <w:sz w:val="24"/>
          <w:szCs w:val="24"/>
          <w:lang w:val="en-GB"/>
        </w:rPr>
        <w:t>ka River [Mazurkevich et al., 2005a], it became obvious that some of the stands on the second lake terrace "control" the passage along the river channels, occupying the reference points. These are sites characterized by low light</w:t>
      </w:r>
      <w:r w:rsidR="000325B3">
        <w:rPr>
          <w:rFonts w:ascii="Times New Roman" w:hAnsi="Times New Roman"/>
          <w:sz w:val="24"/>
          <w:szCs w:val="24"/>
          <w:lang w:val="en-GB"/>
        </w:rPr>
        <w:t>ening</w:t>
      </w:r>
      <w:r w:rsidRPr="001F4007">
        <w:rPr>
          <w:rFonts w:ascii="Times New Roman" w:hAnsi="Times New Roman"/>
          <w:sz w:val="24"/>
          <w:szCs w:val="24"/>
          <w:lang w:val="en-GB"/>
        </w:rPr>
        <w:t>, especially in winter, and strong openness to northern winds, making them uncomfortable for permanent habitation (Type 4). However, they may well have been suitable for observing the area and fishing.</w:t>
      </w:r>
    </w:p>
    <w:p w14:paraId="3DB9EEEB" w14:textId="13F1FF8F" w:rsidR="00036F81" w:rsidRPr="001F4007" w:rsidRDefault="00036F81" w:rsidP="00036F81">
      <w:pPr>
        <w:widowControl w:val="0"/>
        <w:autoSpaceDE w:val="0"/>
        <w:autoSpaceDN w:val="0"/>
        <w:adjustRightInd w:val="0"/>
        <w:spacing w:line="360" w:lineRule="auto"/>
        <w:contextualSpacing/>
        <w:jc w:val="both"/>
        <w:rPr>
          <w:rFonts w:ascii="Times New Roman" w:hAnsi="Times New Roman"/>
          <w:sz w:val="24"/>
          <w:szCs w:val="24"/>
          <w:lang w:val="en-GB"/>
        </w:rPr>
      </w:pPr>
      <w:r w:rsidRPr="001F4007">
        <w:rPr>
          <w:rFonts w:ascii="Times New Roman" w:hAnsi="Times New Roman"/>
          <w:sz w:val="24"/>
          <w:szCs w:val="24"/>
          <w:lang w:val="en-GB"/>
        </w:rPr>
        <w:t xml:space="preserve">Modelling by means of GIS analysis of illumination and exposure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[Mazurkevich, Dolbunova, 2011] has shown that in winter it was not comfortable to live on the north-eastern and north-western slopes due to low illumination. Probably, that is why the ancient population chose western or southwestern slopes, while in summer they could also settle on eastern slopes. Moreover, the degree of light</w:t>
      </w:r>
      <w:r w:rsidR="000325B3">
        <w:rPr>
          <w:rFonts w:ascii="Times New Roman" w:hAnsi="Times New Roman"/>
          <w:sz w:val="24"/>
          <w:szCs w:val="24"/>
          <w:lang w:val="en-GB"/>
        </w:rPr>
        <w:t>ening</w:t>
      </w:r>
      <w:r w:rsidRPr="001F4007">
        <w:rPr>
          <w:rFonts w:ascii="Times New Roman" w:hAnsi="Times New Roman"/>
          <w:sz w:val="24"/>
          <w:szCs w:val="24"/>
          <w:lang w:val="en-GB"/>
        </w:rPr>
        <w:t xml:space="preserve"> in winter was better in the northern part of the </w:t>
      </w:r>
      <w:proofErr w:type="spellStart"/>
      <w:r w:rsidR="000325B3" w:rsidRPr="001F4007">
        <w:rPr>
          <w:rFonts w:ascii="Times New Roman" w:hAnsi="Times New Roman"/>
          <w:sz w:val="24"/>
          <w:szCs w:val="24"/>
          <w:lang w:val="en-GB"/>
        </w:rPr>
        <w:t>Sertey</w:t>
      </w:r>
      <w:r w:rsidR="000325B3">
        <w:rPr>
          <w:rFonts w:ascii="Times New Roman" w:hAnsi="Times New Roman"/>
          <w:sz w:val="24"/>
          <w:szCs w:val="24"/>
          <w:lang w:val="en-GB"/>
        </w:rPr>
        <w:t>a</w:t>
      </w:r>
      <w:proofErr w:type="spellEnd"/>
      <w:r w:rsidR="000325B3" w:rsidRPr="001F4007">
        <w:rPr>
          <w:rFonts w:ascii="Times New Roman" w:hAnsi="Times New Roman"/>
          <w:sz w:val="24"/>
          <w:szCs w:val="24"/>
          <w:lang w:val="en-GB"/>
        </w:rPr>
        <w:t xml:space="preserve"> </w:t>
      </w:r>
      <w:r w:rsidR="00003182" w:rsidRPr="001F4007">
        <w:rPr>
          <w:rFonts w:ascii="Times New Roman" w:hAnsi="Times New Roman"/>
          <w:sz w:val="24"/>
          <w:szCs w:val="24"/>
          <w:lang w:val="en-GB"/>
        </w:rPr>
        <w:lastRenderedPageBreak/>
        <w:t>microregion</w:t>
      </w:r>
      <w:r w:rsidRPr="001F4007">
        <w:rPr>
          <w:rFonts w:ascii="Times New Roman" w:hAnsi="Times New Roman"/>
          <w:sz w:val="24"/>
          <w:szCs w:val="24"/>
          <w:lang w:val="en-GB"/>
        </w:rPr>
        <w:t xml:space="preserve">. All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with remains of long-term structures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3-3) were exposed to the</w:t>
      </w:r>
      <w:r w:rsidR="000325B3">
        <w:rPr>
          <w:rFonts w:ascii="Times New Roman" w:hAnsi="Times New Roman"/>
          <w:sz w:val="24"/>
          <w:szCs w:val="24"/>
          <w:lang w:val="en-GB"/>
        </w:rPr>
        <w:t xml:space="preserve"> warm</w:t>
      </w:r>
      <w:r w:rsidRPr="001F4007">
        <w:rPr>
          <w:rFonts w:ascii="Times New Roman" w:hAnsi="Times New Roman"/>
          <w:sz w:val="24"/>
          <w:szCs w:val="24"/>
          <w:lang w:val="en-GB"/>
        </w:rPr>
        <w:t xml:space="preserve"> south-southwest direction and were protected from the north by the edge of the lake basin, terraces and </w:t>
      </w:r>
      <w:r w:rsidR="000325B3">
        <w:rPr>
          <w:rFonts w:ascii="Times New Roman" w:hAnsi="Times New Roman"/>
          <w:sz w:val="24"/>
          <w:szCs w:val="24"/>
          <w:lang w:val="en-GB"/>
        </w:rPr>
        <w:t xml:space="preserve">other </w:t>
      </w:r>
      <w:r w:rsidRPr="001F4007">
        <w:rPr>
          <w:rFonts w:ascii="Times New Roman" w:hAnsi="Times New Roman"/>
          <w:sz w:val="24"/>
          <w:szCs w:val="24"/>
          <w:lang w:val="en-GB"/>
        </w:rPr>
        <w:t xml:space="preserve">elevations [Mazurkevich et al., 2003, p. 260-265; Mazurkevich and </w:t>
      </w:r>
      <w:proofErr w:type="spellStart"/>
      <w:r w:rsidRPr="001F4007">
        <w:rPr>
          <w:rFonts w:ascii="Times New Roman" w:hAnsi="Times New Roman"/>
          <w:sz w:val="24"/>
          <w:szCs w:val="24"/>
          <w:lang w:val="en-GB"/>
        </w:rPr>
        <w:t>Polkovnikova</w:t>
      </w:r>
      <w:proofErr w:type="spellEnd"/>
      <w:r w:rsidRPr="001F4007">
        <w:rPr>
          <w:rFonts w:ascii="Times New Roman" w:hAnsi="Times New Roman"/>
          <w:sz w:val="24"/>
          <w:szCs w:val="24"/>
          <w:lang w:val="en-GB"/>
        </w:rPr>
        <w:t xml:space="preserve">, 2008]. </w:t>
      </w:r>
    </w:p>
    <w:p w14:paraId="70506DD0" w14:textId="258F8E03" w:rsidR="00036F81" w:rsidRPr="001F4007" w:rsidRDefault="00036F81" w:rsidP="00036F81">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used in this review have the investigated area from 50% to 90% of the total known area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The concentration of vessels on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can be seen as a marker of duration and/or activity at the monument.</w:t>
      </w:r>
    </w:p>
    <w:p w14:paraId="2F52FE27" w14:textId="17956BDB" w:rsidR="00036F81" w:rsidRPr="001F4007" w:rsidRDefault="00036F81" w:rsidP="00036F81">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The analysis is based on the proposed typological scheme of Neolithic earthenware for the Dnieper-Dvina interfluves [</w:t>
      </w:r>
      <w:proofErr w:type="spellStart"/>
      <w:r w:rsidRPr="001F4007">
        <w:rPr>
          <w:rFonts w:ascii="Times New Roman" w:hAnsi="Times New Roman"/>
          <w:sz w:val="24"/>
          <w:szCs w:val="24"/>
          <w:lang w:val="en-GB"/>
        </w:rPr>
        <w:t>Miklyaev</w:t>
      </w:r>
      <w:proofErr w:type="spellEnd"/>
      <w:r w:rsidRPr="001F4007">
        <w:rPr>
          <w:rFonts w:ascii="Times New Roman" w:hAnsi="Times New Roman"/>
          <w:sz w:val="24"/>
          <w:szCs w:val="24"/>
          <w:lang w:val="en-GB"/>
        </w:rPr>
        <w:t xml:space="preserve"> 1995; Mazurkevich, Dolbunova, </w:t>
      </w:r>
      <w:proofErr w:type="spellStart"/>
      <w:r w:rsidRPr="001F4007">
        <w:rPr>
          <w:rFonts w:ascii="Times New Roman" w:hAnsi="Times New Roman"/>
          <w:sz w:val="24"/>
          <w:szCs w:val="24"/>
          <w:lang w:val="en-GB"/>
        </w:rPr>
        <w:t>Kulkova</w:t>
      </w:r>
      <w:proofErr w:type="spellEnd"/>
      <w:r w:rsidRPr="001F4007">
        <w:rPr>
          <w:rFonts w:ascii="Times New Roman" w:hAnsi="Times New Roman"/>
          <w:sz w:val="24"/>
          <w:szCs w:val="24"/>
          <w:lang w:val="en-GB"/>
        </w:rPr>
        <w:t xml:space="preserve"> 2014; Dolbunova 2015]. Materials are presented in chronological order.</w:t>
      </w:r>
    </w:p>
    <w:p w14:paraId="394E50AE" w14:textId="45E5C759" w:rsidR="00DF0963" w:rsidRPr="001F4007" w:rsidRDefault="00DF0963" w:rsidP="00DF0963">
      <w:pPr>
        <w:widowControl w:val="0"/>
        <w:autoSpaceDE w:val="0"/>
        <w:autoSpaceDN w:val="0"/>
        <w:adjustRightInd w:val="0"/>
        <w:spacing w:line="360" w:lineRule="auto"/>
        <w:contextualSpacing/>
        <w:jc w:val="both"/>
        <w:rPr>
          <w:rFonts w:ascii="Times New Roman" w:hAnsi="Times New Roman"/>
          <w:sz w:val="24"/>
          <w:szCs w:val="24"/>
          <w:lang w:val="en-GB"/>
        </w:rPr>
      </w:pPr>
      <w:r w:rsidRPr="001F4007">
        <w:rPr>
          <w:rFonts w:ascii="Times New Roman" w:hAnsi="Times New Roman"/>
          <w:sz w:val="24"/>
          <w:szCs w:val="24"/>
          <w:lang w:val="en-GB"/>
        </w:rPr>
        <w:t xml:space="preserve">Finds of single arrowheads in the northern part of the microregion belong to the Final Palaeolithic-Early Mesolithic. The </w:t>
      </w:r>
      <w:proofErr w:type="spellStart"/>
      <w:r w:rsidR="0034276E"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1 and </w:t>
      </w:r>
      <w:proofErr w:type="spellStart"/>
      <w:r w:rsidR="0034276E"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2 monuments are located in type 2 topographic conditions. </w:t>
      </w:r>
    </w:p>
    <w:p w14:paraId="3E32D5CD" w14:textId="64A9E803" w:rsidR="00DF0963" w:rsidRPr="001F4007" w:rsidRDefault="0034276E" w:rsidP="00DF0963">
      <w:pPr>
        <w:widowControl w:val="0"/>
        <w:autoSpaceDE w:val="0"/>
        <w:autoSpaceDN w:val="0"/>
        <w:adjustRightInd w:val="0"/>
        <w:spacing w:line="360" w:lineRule="auto"/>
        <w:contextualSpacing/>
        <w:jc w:val="both"/>
        <w:rPr>
          <w:rFonts w:ascii="Times New Roman" w:hAnsi="Times New Roman"/>
          <w:sz w:val="24"/>
          <w:szCs w:val="24"/>
          <w:lang w:val="en-GB"/>
        </w:rPr>
      </w:pPr>
      <w:r w:rsidRPr="001F4007">
        <w:rPr>
          <w:rFonts w:ascii="Times New Roman" w:hAnsi="Times New Roman"/>
          <w:sz w:val="24"/>
          <w:szCs w:val="24"/>
          <w:lang w:val="en-GB"/>
        </w:rPr>
        <w:t>In the Middle and L</w:t>
      </w:r>
      <w:r w:rsidR="004D1E39" w:rsidRPr="001F4007">
        <w:rPr>
          <w:rFonts w:ascii="Times New Roman" w:hAnsi="Times New Roman"/>
          <w:sz w:val="24"/>
          <w:szCs w:val="24"/>
          <w:lang w:val="en-GB"/>
        </w:rPr>
        <w:t>ate Mesolithic, a post-Swider</w:t>
      </w:r>
      <w:r w:rsidRPr="001F4007">
        <w:rPr>
          <w:rFonts w:ascii="Times New Roman" w:hAnsi="Times New Roman"/>
          <w:sz w:val="24"/>
          <w:szCs w:val="24"/>
          <w:lang w:val="en-GB"/>
        </w:rPr>
        <w:t xml:space="preserve"> cultural tradition is recorded in the types of stone implements and the system of flint splitting. The territory of the microregion is evenly developed in all landscape types. Finds of rounded, post-hollowed dwellings with sunken hearths also belong to that time. They are found in the southern (</w:t>
      </w:r>
      <w:proofErr w:type="spellStart"/>
      <w:r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 and northern part (</w:t>
      </w:r>
      <w:proofErr w:type="spellStart"/>
      <w:r w:rsidRPr="001F4007">
        <w:rPr>
          <w:rFonts w:ascii="Times New Roman" w:hAnsi="Times New Roman"/>
          <w:sz w:val="24"/>
          <w:szCs w:val="24"/>
          <w:lang w:val="en-GB"/>
        </w:rPr>
        <w:t>Serteya</w:t>
      </w:r>
      <w:proofErr w:type="spellEnd"/>
      <w:r w:rsidR="000325B3">
        <w:rPr>
          <w:rFonts w:ascii="Times New Roman" w:hAnsi="Times New Roman"/>
          <w:sz w:val="24"/>
          <w:szCs w:val="24"/>
          <w:lang w:val="en-GB"/>
        </w:rPr>
        <w:t xml:space="preserve"> </w:t>
      </w:r>
      <w:r w:rsidRPr="001F4007">
        <w:rPr>
          <w:rFonts w:ascii="Times New Roman" w:hAnsi="Times New Roman"/>
          <w:sz w:val="24"/>
          <w:szCs w:val="24"/>
          <w:lang w:val="en-GB"/>
        </w:rPr>
        <w:t>XIV). The dwellings are situated in the coastal zone. Probably, the Mesolithic technological tradition completely disappears in the micro-region with the appearance of the population that made pottery.</w:t>
      </w:r>
    </w:p>
    <w:p w14:paraId="66EE7493" w14:textId="4D6CF4EC" w:rsidR="00036F81" w:rsidRPr="001F4007" w:rsidRDefault="00036F81" w:rsidP="00036F81">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In previous works we considered the ceramics of phases "a" - "b-1" as an evolutionary development of the tradition of ceramics with </w:t>
      </w:r>
      <w:proofErr w:type="spellStart"/>
      <w:r w:rsidRPr="001F4007">
        <w:rPr>
          <w:rFonts w:ascii="Times New Roman" w:hAnsi="Times New Roman"/>
          <w:sz w:val="24"/>
          <w:szCs w:val="24"/>
          <w:lang w:val="en-GB"/>
        </w:rPr>
        <w:t>nakolchatnaya</w:t>
      </w:r>
      <w:proofErr w:type="spellEnd"/>
      <w:r w:rsidRPr="001F4007">
        <w:rPr>
          <w:rFonts w:ascii="Times New Roman" w:hAnsi="Times New Roman"/>
          <w:sz w:val="24"/>
          <w:szCs w:val="24"/>
          <w:lang w:val="en-GB"/>
        </w:rPr>
        <w:t xml:space="preserve"> tradition of ornamentation. Other ceramic phases were associated with the spread of cultural traditions and population from other regions of Eastern Europe. The analogies with different territories were understood by us as vectors of cultural interrelations in different phases of development of the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Early Neolithic culture. The obtained small series of 14C dating by the accompanying materials for different ceramic phases allowed to determine the chronological boundaries of the existence of the </w:t>
      </w:r>
      <w:proofErr w:type="spellStart"/>
      <w:r w:rsidRPr="001F4007">
        <w:rPr>
          <w:rFonts w:ascii="Times New Roman" w:hAnsi="Times New Roman"/>
          <w:sz w:val="24"/>
          <w:szCs w:val="24"/>
          <w:lang w:val="en-GB"/>
        </w:rPr>
        <w:t>Nakolovo</w:t>
      </w:r>
      <w:proofErr w:type="spellEnd"/>
      <w:r w:rsidRPr="001F4007">
        <w:rPr>
          <w:rFonts w:ascii="Times New Roman" w:hAnsi="Times New Roman"/>
          <w:sz w:val="24"/>
          <w:szCs w:val="24"/>
          <w:lang w:val="en-GB"/>
        </w:rPr>
        <w:t xml:space="preserve"> pottery tradition in this area and to suggest the possible coexistence of some ceramic phases. The data on the development of the flint industry suggest a change in the perception of cultural processes. The ceramics of phase "a" are characterized by the industry of the production of lamellar blanks from single-platform nuclei using percussive splitting techniques. The stone industry of phases "b" and "b-1" is characterised by the complete absence of the lamellar component. These industries are characterised by the manufacture of implements by double-sided capping and grinding. In the Early Neolithic industry of phases b-3 and b-4, and possibly b-2 and b-5, the plate component again becomes predominant, and the splitting technique used is that of striking through the </w:t>
      </w:r>
      <w:r w:rsidRPr="001F4007">
        <w:rPr>
          <w:rFonts w:ascii="Times New Roman" w:hAnsi="Times New Roman"/>
          <w:sz w:val="24"/>
          <w:szCs w:val="24"/>
          <w:lang w:val="en-GB"/>
        </w:rPr>
        <w:lastRenderedPageBreak/>
        <w:t xml:space="preserve">intermediary. These observations demonstrate rather a change of different cultural traditions and indicate a lack of evolutionary development and a permanent change of population in the archaeological microregion. The development of the site, the presence of permanent and seasonal residential structures, as well as farm buildings, sites and the migration of earthenware raw materials testify to a long period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the specific economic strategy and, indirectly, the size of the community. </w:t>
      </w:r>
    </w:p>
    <w:p w14:paraId="7CA3A0D5" w14:textId="77777777"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Thus in phase "a-1" control of the area is carried out, habitat is organised in convenient areas for fishing and fishing activities on the banks of water bodies in the northern and southern lake basin, as well as on migration trails on the right bank. No remnants of structures were recorded, only hearths and sites. </w:t>
      </w:r>
    </w:p>
    <w:p w14:paraId="2C5DFCBF" w14:textId="77777777"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Phase "a" has a different system. The main finds in the southern lacustrine basin in places convenient for fishing and fishing activities on the shore of the reservoir, and in the northern part a three-part winter structure with minimal ceramic finds and a ground structure with a hearth in the centre are identified. This position only partially controls migration routes. The rest of the site remains uncontrolled and uninhabited. The question remains open: is the focus on fishing and fishing activity on the banks of water bodies a peculiarity of the economic strategy or is it a limitation of our knowledge. </w:t>
      </w:r>
    </w:p>
    <w:p w14:paraId="2CB5FE7C" w14:textId="4E44E360"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Increase in number of vessels of phases "b" - "b-1" as well as increase in number of monuments with finds of similar vessels can testify to intensive settling of microregions. At this stage there is a maximum development of all areas of the valley, for example,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have appeared on the left bank of the valley, which allow to control more effectively seasonal movement of animals, there is a movement of raw materials for clay vessels, or vessels made in the southern part of the microregion from local raw materials. The remains of structures in various contexts are fixed in a variety of ways. Lightweight above-ground earthen structures both domestic and with hearths in places suitable for the exploitation of water and coastal resources in the southern basin. This is also the site of a religious building on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 in the form of an open ring on the southern side. Remains of pillars, fireplaces, and calcified bones were found in the ditch itself. Remains of stationary dwellings with sunken floors were found in the northern part of the ditch, both on the bank of the pond and in "winter" areas. On the migration paths, in addition to hearths and farmsteads, the remains of a sub-structure were also discovered. Such a variety of constructive remains testifies to relatively long stay of bearers of the given cultural tradition in archaeological microregion.</w:t>
      </w:r>
    </w:p>
    <w:p w14:paraId="64FB13ED" w14:textId="16D193FA" w:rsidR="00036F81"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predominance of vessels of these phases among all others can be interpreted as indirect evidence of population increase after the transgression, which occurred 7500 B.P. [Mazurkevich et al., 2003]. The assumption of a population increase may be supported by the recorded increase </w:t>
      </w:r>
      <w:r w:rsidRPr="001F4007">
        <w:rPr>
          <w:rFonts w:ascii="Times New Roman" w:hAnsi="Times New Roman"/>
          <w:sz w:val="24"/>
          <w:szCs w:val="24"/>
          <w:lang w:val="en-GB"/>
        </w:rPr>
        <w:lastRenderedPageBreak/>
        <w:t xml:space="preserve">in anthropogenic load on the ecosystem and </w:t>
      </w:r>
      <w:proofErr w:type="spellStart"/>
      <w:r w:rsidRPr="001F4007">
        <w:rPr>
          <w:rFonts w:ascii="Times New Roman" w:hAnsi="Times New Roman"/>
          <w:sz w:val="24"/>
          <w:szCs w:val="24"/>
          <w:lang w:val="en-GB"/>
        </w:rPr>
        <w:t>palewater</w:t>
      </w:r>
      <w:proofErr w:type="spellEnd"/>
      <w:r w:rsidRPr="001F4007">
        <w:rPr>
          <w:rFonts w:ascii="Times New Roman" w:hAnsi="Times New Roman"/>
          <w:sz w:val="24"/>
          <w:szCs w:val="24"/>
          <w:lang w:val="en-GB"/>
        </w:rPr>
        <w:t xml:space="preserve"> bodies compared to the preceding At-1 period (7860-7345 BP). And at this time, after 7500 BP, the anthropogenic load on the northern lake basin increases and the load on the southern basin decreases, which correlates with the increase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in the northern part of the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microregion and their small number in the southern part [Mazurkevich et al., 2003; </w:t>
      </w:r>
      <w:proofErr w:type="spellStart"/>
      <w:r w:rsidRPr="001F4007">
        <w:rPr>
          <w:rFonts w:ascii="Times New Roman" w:hAnsi="Times New Roman"/>
          <w:sz w:val="24"/>
          <w:szCs w:val="24"/>
          <w:lang w:val="en-GB"/>
        </w:rPr>
        <w:t>Kulkova</w:t>
      </w:r>
      <w:proofErr w:type="spellEnd"/>
      <w:r w:rsidRPr="001F4007">
        <w:rPr>
          <w:rFonts w:ascii="Times New Roman" w:hAnsi="Times New Roman"/>
          <w:sz w:val="24"/>
          <w:szCs w:val="24"/>
          <w:lang w:val="en-GB"/>
        </w:rPr>
        <w:t xml:space="preserve"> et al., 2001]. </w:t>
      </w:r>
      <w:r w:rsidR="00036F81" w:rsidRPr="001F4007">
        <w:rPr>
          <w:rFonts w:ascii="Times New Roman" w:hAnsi="Times New Roman"/>
          <w:sz w:val="24"/>
          <w:szCs w:val="24"/>
          <w:lang w:val="en-GB"/>
        </w:rPr>
        <w:t xml:space="preserve">Presumably the </w:t>
      </w:r>
      <w:r w:rsidR="00003182" w:rsidRPr="001F4007">
        <w:rPr>
          <w:rFonts w:ascii="Times New Roman" w:hAnsi="Times New Roman"/>
          <w:sz w:val="24"/>
          <w:szCs w:val="24"/>
          <w:lang w:val="en-GB"/>
        </w:rPr>
        <w:t>settlements</w:t>
      </w:r>
      <w:r w:rsidR="00036F81" w:rsidRPr="001F4007">
        <w:rPr>
          <w:rFonts w:ascii="Times New Roman" w:hAnsi="Times New Roman"/>
          <w:sz w:val="24"/>
          <w:szCs w:val="24"/>
          <w:lang w:val="en-GB"/>
        </w:rPr>
        <w:t xml:space="preserve"> with the highest concentration can be regarded as basic, but taking into account the presence of constructions and topographic features.</w:t>
      </w:r>
    </w:p>
    <w:p w14:paraId="5A577BC9" w14:textId="1E26227F" w:rsidR="00036F81" w:rsidRPr="001F4007" w:rsidRDefault="00036F81" w:rsidP="00036F81">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lack of continuity in stone industry between the Final Mesolithic and First Ceramic phases indicates that these groups began to develop free space, their system of mastering the </w:t>
      </w:r>
      <w:proofErr w:type="spellStart"/>
      <w:r w:rsidRPr="001F4007">
        <w:rPr>
          <w:rFonts w:ascii="Times New Roman" w:hAnsi="Times New Roman"/>
          <w:sz w:val="24"/>
          <w:szCs w:val="24"/>
          <w:lang w:val="en-GB"/>
        </w:rPr>
        <w:t>lndscape</w:t>
      </w:r>
      <w:proofErr w:type="spellEnd"/>
      <w:r w:rsidRPr="001F4007">
        <w:rPr>
          <w:rFonts w:ascii="Times New Roman" w:hAnsi="Times New Roman"/>
          <w:sz w:val="24"/>
          <w:szCs w:val="24"/>
          <w:lang w:val="en-GB"/>
        </w:rPr>
        <w:t xml:space="preserve"> is characteristic of their culture, their economic strategy. Thus in the phase "a-1", control of the territory is carried out, organizing dwelling on convenient sites for fishing and fishery activities on the banks of reservoirs in the northern and southern lake basin, as well as on migration trails on the right bank. No remnants of structures were recorded, only hearths and sites.</w:t>
      </w:r>
      <w:r w:rsidR="00436E07" w:rsidRPr="001F4007">
        <w:rPr>
          <w:rFonts w:ascii="Times New Roman" w:hAnsi="Times New Roman"/>
          <w:sz w:val="24"/>
          <w:szCs w:val="24"/>
          <w:lang w:val="en-GB"/>
        </w:rPr>
        <w:t xml:space="preserve"> </w:t>
      </w:r>
    </w:p>
    <w:p w14:paraId="178EEB96" w14:textId="67CB36EC"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question remains open: are the ceramics of phases "b" and "b-1" two consecutive phases in the development of the culture or do they belong to two different related groups who lived simultaneously in the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valley? The structure of the three-part </w:t>
      </w:r>
      <w:proofErr w:type="spellStart"/>
      <w:r w:rsidRPr="001F4007">
        <w:rPr>
          <w:rFonts w:ascii="Times New Roman" w:hAnsi="Times New Roman"/>
          <w:sz w:val="24"/>
          <w:szCs w:val="24"/>
          <w:lang w:val="en-GB"/>
        </w:rPr>
        <w:t>winterhouse</w:t>
      </w:r>
      <w:proofErr w:type="spellEnd"/>
      <w:r w:rsidRPr="001F4007">
        <w:rPr>
          <w:rFonts w:ascii="Times New Roman" w:hAnsi="Times New Roman"/>
          <w:sz w:val="24"/>
          <w:szCs w:val="24"/>
          <w:lang w:val="en-GB"/>
        </w:rPr>
        <w:t xml:space="preserve">, in which vessels from both phases were buried, could be interpreted in favour of the two groups. The presence in the coastal zone of recessed oval buildings with a hearth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and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II@, can also be interpreted as synchronous summer dwellings for the two groups. </w:t>
      </w:r>
    </w:p>
    <w:p w14:paraId="60F0A445" w14:textId="76C5B155"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For the time of phase b-2, we can assume the presence of a basic (seasonal?)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at </w:t>
      </w:r>
      <w:proofErr w:type="spellStart"/>
      <w:r w:rsidRPr="001F4007">
        <w:rPr>
          <w:rFonts w:ascii="Times New Roman" w:hAnsi="Times New Roman"/>
          <w:sz w:val="24"/>
          <w:szCs w:val="24"/>
          <w:lang w:val="en-GB"/>
        </w:rPr>
        <w:t>Certea</w:t>
      </w:r>
      <w:proofErr w:type="spellEnd"/>
      <w:r w:rsidRPr="001F4007">
        <w:rPr>
          <w:rFonts w:ascii="Times New Roman" w:hAnsi="Times New Roman"/>
          <w:sz w:val="24"/>
          <w:szCs w:val="24"/>
          <w:lang w:val="en-GB"/>
        </w:rPr>
        <w:t xml:space="preserve"> X in the southern hollow, as a residential and farming structure is recorded here. In the northern part there is activity on the migration trail and on the lake shore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w:t>
      </w:r>
    </w:p>
    <w:p w14:paraId="0ADACF8C" w14:textId="77777777"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In the phase "b-3" it is possible to assume short-term existence of the population in places convenient for fishing and craftsmanship on the ponds' shores, on the </w:t>
      </w:r>
      <w:proofErr w:type="spellStart"/>
      <w:r w:rsidRPr="001F4007">
        <w:rPr>
          <w:rFonts w:ascii="Times New Roman" w:hAnsi="Times New Roman"/>
          <w:sz w:val="24"/>
          <w:szCs w:val="24"/>
          <w:lang w:val="en-GB"/>
        </w:rPr>
        <w:t>migrational</w:t>
      </w:r>
      <w:proofErr w:type="spellEnd"/>
      <w:r w:rsidRPr="001F4007">
        <w:rPr>
          <w:rFonts w:ascii="Times New Roman" w:hAnsi="Times New Roman"/>
          <w:sz w:val="24"/>
          <w:szCs w:val="24"/>
          <w:lang w:val="en-GB"/>
        </w:rPr>
        <w:t xml:space="preserve"> paths and in the point of access control in the valley.</w:t>
      </w:r>
    </w:p>
    <w:p w14:paraId="0758F798" w14:textId="5ED8AFB7"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bearers of the b-4 phase cultural tradition mainly inhabited the northern lacustrine basin. In the southern part their presence was episodic, which can be proved by finds of two vessels originating from </w:t>
      </w:r>
      <w:proofErr w:type="spellStart"/>
      <w:r w:rsidRPr="001F4007">
        <w:rPr>
          <w:rFonts w:ascii="Times New Roman" w:hAnsi="Times New Roman"/>
          <w:sz w:val="24"/>
          <w:szCs w:val="24"/>
          <w:lang w:val="en-GB"/>
        </w:rPr>
        <w:t>Certea</w:t>
      </w:r>
      <w:proofErr w:type="spellEnd"/>
      <w:r w:rsidRPr="001F4007">
        <w:rPr>
          <w:rFonts w:ascii="Times New Roman" w:hAnsi="Times New Roman"/>
          <w:sz w:val="24"/>
          <w:szCs w:val="24"/>
          <w:lang w:val="en-GB"/>
        </w:rPr>
        <w:t xml:space="preserve"> X and </w:t>
      </w:r>
      <w:proofErr w:type="spellStart"/>
      <w:r w:rsidRPr="001F4007">
        <w:rPr>
          <w:rFonts w:ascii="Times New Roman" w:hAnsi="Times New Roman"/>
          <w:sz w:val="24"/>
          <w:szCs w:val="24"/>
          <w:lang w:val="en-GB"/>
        </w:rPr>
        <w:t>Certea</w:t>
      </w:r>
      <w:proofErr w:type="spellEnd"/>
      <w:r w:rsidRPr="001F4007">
        <w:rPr>
          <w:rFonts w:ascii="Times New Roman" w:hAnsi="Times New Roman"/>
          <w:sz w:val="24"/>
          <w:szCs w:val="24"/>
          <w:lang w:val="en-GB"/>
        </w:rPr>
        <w:t xml:space="preserve"> II@ monument. In the northern part of the microregion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are concentrated very compactly in one zone, which includes a whole "cluster" of stands and sites located on the site of the ancient migration trail (where a new type of monument appears - a household pit with a vessel on the edge and with a site nearby), in places convenient for fishing and fishery activities on the banks of water bodies and at the access control point to the valley [Mazurkevich, Dolbunova, 2011]. Also used is a site suitable for wintering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3-3, where one of the maximum finds of pottery is recorded. The second one is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which can be interpreted as another reference monument in summer time on the bank of the reservoir.</w:t>
      </w:r>
    </w:p>
    <w:p w14:paraId="7B1F2B80" w14:textId="4A08EBCF"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lastRenderedPageBreak/>
        <w:t xml:space="preserve">In the phase "b-5" the main mass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is concentrated in the northern part: on the site of the ancient migration trail (including the left bank of the valley), in places suitable for fishing and craft activities on the bank of the reservoir, as well as using the place suitable for wintering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3-3, where is fixed one of the maxima of finds of ceramics. The other one in this part corresponds with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which can be interpreted as a reference monument during summer time on the bank of the pond. In the southern part, the site at p.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 is actively used, including a farm building. </w:t>
      </w:r>
    </w:p>
    <w:p w14:paraId="75D4D0EC" w14:textId="77777777"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analysis of the spatial and temporal distribution of the sites shows different farming strategies and time-related occupation of the </w:t>
      </w:r>
      <w:proofErr w:type="spellStart"/>
      <w:r w:rsidRPr="001F4007">
        <w:rPr>
          <w:rFonts w:ascii="Times New Roman" w:hAnsi="Times New Roman"/>
          <w:sz w:val="24"/>
          <w:szCs w:val="24"/>
          <w:lang w:val="en-GB"/>
        </w:rPr>
        <w:t>Sertea</w:t>
      </w:r>
      <w:proofErr w:type="spellEnd"/>
      <w:r w:rsidRPr="001F4007">
        <w:rPr>
          <w:rFonts w:ascii="Times New Roman" w:hAnsi="Times New Roman"/>
          <w:sz w:val="24"/>
          <w:szCs w:val="24"/>
          <w:lang w:val="en-GB"/>
        </w:rPr>
        <w:t xml:space="preserve"> valley.</w:t>
      </w:r>
    </w:p>
    <w:p w14:paraId="380630AA" w14:textId="09FF2724" w:rsidR="00436E07" w:rsidRPr="001F4007" w:rsidRDefault="00003182" w:rsidP="00436E07">
      <w:pPr>
        <w:widowControl w:val="0"/>
        <w:autoSpaceDE w:val="0"/>
        <w:autoSpaceDN w:val="0"/>
        <w:adjustRightInd w:val="0"/>
        <w:spacing w:line="360" w:lineRule="auto"/>
        <w:ind w:firstLine="708"/>
        <w:contextualSpacing/>
        <w:jc w:val="both"/>
        <w:rPr>
          <w:rFonts w:ascii="Times New Roman" w:hAnsi="Times New Roman"/>
          <w:i/>
          <w:sz w:val="24"/>
          <w:szCs w:val="24"/>
          <w:lang w:val="en-GB"/>
        </w:rPr>
      </w:pPr>
      <w:r w:rsidRPr="001F4007">
        <w:rPr>
          <w:rFonts w:ascii="Times New Roman" w:hAnsi="Times New Roman"/>
          <w:i/>
          <w:sz w:val="24"/>
          <w:szCs w:val="24"/>
          <w:lang w:val="en-GB"/>
        </w:rPr>
        <w:t>Settlements</w:t>
      </w:r>
      <w:r w:rsidR="00436E07" w:rsidRPr="001F4007">
        <w:rPr>
          <w:rFonts w:ascii="Times New Roman" w:hAnsi="Times New Roman"/>
          <w:i/>
          <w:sz w:val="24"/>
          <w:szCs w:val="24"/>
          <w:lang w:val="en-GB"/>
        </w:rPr>
        <w:t xml:space="preserve"> of the </w:t>
      </w:r>
      <w:proofErr w:type="spellStart"/>
      <w:r w:rsidR="00436E07" w:rsidRPr="001F4007">
        <w:rPr>
          <w:rFonts w:ascii="Times New Roman" w:hAnsi="Times New Roman"/>
          <w:i/>
          <w:sz w:val="24"/>
          <w:szCs w:val="24"/>
          <w:lang w:val="en-GB"/>
        </w:rPr>
        <w:t>Rudnja</w:t>
      </w:r>
      <w:proofErr w:type="spellEnd"/>
      <w:r w:rsidR="00436E07" w:rsidRPr="001F4007">
        <w:rPr>
          <w:rFonts w:ascii="Times New Roman" w:hAnsi="Times New Roman"/>
          <w:i/>
          <w:sz w:val="24"/>
          <w:szCs w:val="24"/>
          <w:lang w:val="en-GB"/>
        </w:rPr>
        <w:t xml:space="preserve"> culture in the </w:t>
      </w:r>
      <w:proofErr w:type="spellStart"/>
      <w:r w:rsidRPr="001F4007">
        <w:rPr>
          <w:rFonts w:ascii="Times New Roman" w:hAnsi="Times New Roman"/>
          <w:i/>
          <w:sz w:val="24"/>
          <w:szCs w:val="24"/>
          <w:lang w:val="en-GB"/>
        </w:rPr>
        <w:t>Serteya</w:t>
      </w:r>
      <w:proofErr w:type="spellEnd"/>
      <w:r w:rsidR="00436E07" w:rsidRPr="001F4007">
        <w:rPr>
          <w:rFonts w:ascii="Times New Roman" w:hAnsi="Times New Roman"/>
          <w:i/>
          <w:sz w:val="24"/>
          <w:szCs w:val="24"/>
          <w:lang w:val="en-GB"/>
        </w:rPr>
        <w:t xml:space="preserve"> archaeological microregion</w:t>
      </w:r>
    </w:p>
    <w:p w14:paraId="29A86972" w14:textId="2D7A239D"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Comparison of production technology of </w:t>
      </w:r>
      <w:proofErr w:type="spellStart"/>
      <w:r w:rsidRPr="001F4007">
        <w:rPr>
          <w:rFonts w:ascii="Times New Roman" w:hAnsi="Times New Roman"/>
          <w:sz w:val="24"/>
          <w:szCs w:val="24"/>
          <w:lang w:val="en-GB"/>
        </w:rPr>
        <w:t>Rudnya</w:t>
      </w:r>
      <w:proofErr w:type="spellEnd"/>
      <w:r w:rsidRPr="001F4007">
        <w:rPr>
          <w:rFonts w:ascii="Times New Roman" w:hAnsi="Times New Roman"/>
          <w:sz w:val="24"/>
          <w:szCs w:val="24"/>
          <w:lang w:val="en-GB"/>
        </w:rPr>
        <w:t xml:space="preserve"> culture complexes with preceding complexes of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culture using correspondent analysis of features that include all stages of the chain of technological operations, indicates two different groups that existed in the Dnieper-Dvina interfluves in the first half - middle of 6th millennium BC and late 6th - first half of 5th millennium BC. Cardinal differences are also observed in the field of ornamentation and morphology, which may indicate a complete change of ceramic traditions and, probably, the local population.</w:t>
      </w:r>
    </w:p>
    <w:p w14:paraId="3CE212C1" w14:textId="660A56F1"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By comparing the materials, we can see the similarities and the attraction of the </w:t>
      </w:r>
      <w:proofErr w:type="spellStart"/>
      <w:r w:rsidRPr="001F4007">
        <w:rPr>
          <w:rFonts w:ascii="Times New Roman" w:hAnsi="Times New Roman"/>
          <w:sz w:val="24"/>
          <w:szCs w:val="24"/>
          <w:lang w:val="en-GB"/>
        </w:rPr>
        <w:t>Rudnya</w:t>
      </w:r>
      <w:proofErr w:type="spellEnd"/>
      <w:r w:rsidRPr="001F4007">
        <w:rPr>
          <w:rFonts w:ascii="Times New Roman" w:hAnsi="Times New Roman"/>
          <w:sz w:val="24"/>
          <w:szCs w:val="24"/>
          <w:lang w:val="en-GB"/>
        </w:rPr>
        <w:t xml:space="preserve"> culture to several complexes of the Narva culture. For the ceramics of "d-1" phase, the analogies can be observed in some types of ceramics of </w:t>
      </w:r>
      <w:proofErr w:type="spellStart"/>
      <w:r w:rsidRPr="001F4007">
        <w:rPr>
          <w:rFonts w:ascii="Times New Roman" w:hAnsi="Times New Roman"/>
          <w:sz w:val="24"/>
          <w:szCs w:val="24"/>
          <w:lang w:val="en-GB"/>
        </w:rPr>
        <w:t>Zvidze</w:t>
      </w:r>
      <w:proofErr w:type="spellEnd"/>
      <w:r w:rsidRPr="001F4007">
        <w:rPr>
          <w:rFonts w:ascii="Times New Roman" w:hAnsi="Times New Roman"/>
          <w:sz w:val="24"/>
          <w:szCs w:val="24"/>
          <w:lang w:val="en-GB"/>
        </w:rPr>
        <w:t xml:space="preserv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Zvidze and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in Estonia (like </w:t>
      </w:r>
      <w:proofErr w:type="spellStart"/>
      <w:r w:rsidRPr="001F4007">
        <w:rPr>
          <w:rFonts w:ascii="Times New Roman" w:hAnsi="Times New Roman"/>
          <w:sz w:val="24"/>
          <w:szCs w:val="24"/>
          <w:lang w:val="en-GB"/>
        </w:rPr>
        <w:t>Käpa</w:t>
      </w:r>
      <w:proofErr w:type="spellEnd"/>
      <w:r w:rsidRPr="001F4007">
        <w:rPr>
          <w:rFonts w:ascii="Times New Roman" w:hAnsi="Times New Roman"/>
          <w:sz w:val="24"/>
          <w:szCs w:val="24"/>
          <w:lang w:val="en-GB"/>
        </w:rPr>
        <w:t xml:space="preserve"> complex) (</w:t>
      </w:r>
      <w:proofErr w:type="spellStart"/>
      <w:r w:rsidRPr="001F4007">
        <w:rPr>
          <w:rFonts w:ascii="Times New Roman" w:hAnsi="Times New Roman"/>
          <w:sz w:val="24"/>
          <w:szCs w:val="24"/>
          <w:lang w:val="en-GB"/>
        </w:rPr>
        <w:t>Kriiska</w:t>
      </w:r>
      <w:proofErr w:type="spellEnd"/>
      <w:r w:rsidRPr="001F4007">
        <w:rPr>
          <w:rFonts w:ascii="Times New Roman" w:hAnsi="Times New Roman"/>
          <w:sz w:val="24"/>
          <w:szCs w:val="24"/>
          <w:lang w:val="en-GB"/>
        </w:rPr>
        <w:t xml:space="preserve">, 1996; </w:t>
      </w:r>
      <w:proofErr w:type="spellStart"/>
      <w:r w:rsidRPr="001F4007">
        <w:rPr>
          <w:rFonts w:ascii="Times New Roman" w:hAnsi="Times New Roman"/>
          <w:sz w:val="24"/>
          <w:szCs w:val="24"/>
          <w:lang w:val="en-GB"/>
        </w:rPr>
        <w:t>Kriiska</w:t>
      </w:r>
      <w:proofErr w:type="spellEnd"/>
      <w:r w:rsidRPr="001F4007">
        <w:rPr>
          <w:rFonts w:ascii="Times New Roman" w:hAnsi="Times New Roman"/>
          <w:sz w:val="24"/>
          <w:szCs w:val="24"/>
          <w:lang w:val="en-GB"/>
        </w:rPr>
        <w:t xml:space="preserve"> et al. 2017), in Belarus (</w:t>
      </w:r>
      <w:proofErr w:type="spellStart"/>
      <w:r w:rsidRPr="001F4007">
        <w:rPr>
          <w:rFonts w:ascii="Times New Roman" w:hAnsi="Times New Roman"/>
          <w:sz w:val="24"/>
          <w:szCs w:val="24"/>
          <w:lang w:val="en-GB"/>
        </w:rPr>
        <w:t>Chernyavskij</w:t>
      </w:r>
      <w:proofErr w:type="spellEnd"/>
      <w:r w:rsidRPr="001F4007">
        <w:rPr>
          <w:rFonts w:ascii="Times New Roman" w:hAnsi="Times New Roman"/>
          <w:sz w:val="24"/>
          <w:szCs w:val="24"/>
          <w:lang w:val="en-GB"/>
        </w:rPr>
        <w:t xml:space="preserve">, 2017). For pottery of phase "d" there are separate analogies in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Luban hollow: Zvidze, Osa (Loze, 1988; </w:t>
      </w:r>
      <w:proofErr w:type="spellStart"/>
      <w:r w:rsidRPr="001F4007">
        <w:rPr>
          <w:rFonts w:ascii="Times New Roman" w:hAnsi="Times New Roman"/>
          <w:sz w:val="24"/>
          <w:szCs w:val="24"/>
          <w:lang w:val="en-GB"/>
        </w:rPr>
        <w:t>Zagorskis</w:t>
      </w:r>
      <w:proofErr w:type="spellEnd"/>
      <w:r w:rsidRPr="001F4007">
        <w:rPr>
          <w:rFonts w:ascii="Times New Roman" w:hAnsi="Times New Roman"/>
          <w:sz w:val="24"/>
          <w:szCs w:val="24"/>
          <w:lang w:val="en-GB"/>
        </w:rPr>
        <w:t xml:space="preserve">, 1973). Similarities with vessels of phase c-1 and c-2 are found in Estonian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 a group located in coastal estuaries of rivers and coastal lagoons (</w:t>
      </w:r>
      <w:proofErr w:type="spellStart"/>
      <w:r w:rsidRPr="001F4007">
        <w:rPr>
          <w:rFonts w:ascii="Times New Roman" w:hAnsi="Times New Roman"/>
          <w:sz w:val="24"/>
          <w:szCs w:val="24"/>
          <w:lang w:val="en-GB"/>
        </w:rPr>
        <w:t>Kriiska</w:t>
      </w:r>
      <w:proofErr w:type="spellEnd"/>
      <w:r w:rsidRPr="001F4007">
        <w:rPr>
          <w:rFonts w:ascii="Times New Roman" w:hAnsi="Times New Roman"/>
          <w:sz w:val="24"/>
          <w:szCs w:val="24"/>
          <w:lang w:val="en-GB"/>
        </w:rPr>
        <w:t xml:space="preserve"> et al. 2017). Such a range of analogies may reflect the penetration of different Baltic groups into the area and at different times. Phase c -1 - analogies in Belarus (</w:t>
      </w:r>
      <w:r w:rsidR="00003182" w:rsidRPr="001F4007">
        <w:rPr>
          <w:rFonts w:ascii="Times New Roman" w:hAnsi="Times New Roman"/>
          <w:sz w:val="24"/>
          <w:szCs w:val="24"/>
          <w:lang w:val="en-GB"/>
        </w:rPr>
        <w:t xml:space="preserve">settlements such as </w:t>
      </w:r>
      <w:proofErr w:type="spellStart"/>
      <w:r w:rsidR="00003182" w:rsidRPr="001F4007">
        <w:rPr>
          <w:rFonts w:ascii="Times New Roman" w:hAnsi="Times New Roman"/>
          <w:sz w:val="24"/>
          <w:szCs w:val="24"/>
          <w:lang w:val="en-GB"/>
        </w:rPr>
        <w:t>Tostykiy</w:t>
      </w:r>
      <w:proofErr w:type="spellEnd"/>
      <w:r w:rsidR="00003182" w:rsidRPr="001F4007">
        <w:rPr>
          <w:rFonts w:ascii="Times New Roman" w:hAnsi="Times New Roman"/>
          <w:sz w:val="24"/>
          <w:szCs w:val="24"/>
          <w:lang w:val="en-GB"/>
        </w:rPr>
        <w:t>)</w:t>
      </w:r>
      <w:r w:rsidRPr="001F4007">
        <w:rPr>
          <w:rFonts w:ascii="Times New Roman" w:hAnsi="Times New Roman"/>
          <w:sz w:val="24"/>
          <w:szCs w:val="24"/>
          <w:lang w:val="en-GB"/>
        </w:rPr>
        <w:t>.</w:t>
      </w:r>
    </w:p>
    <w:p w14:paraId="47F655DF" w14:textId="1C30A758"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Fragments of worked wood, situated next to and at the same level as the ceramics from </w:t>
      </w:r>
      <w:proofErr w:type="spellStart"/>
      <w:r w:rsidRPr="001F4007">
        <w:rPr>
          <w:rFonts w:ascii="Times New Roman" w:hAnsi="Times New Roman"/>
          <w:sz w:val="24"/>
          <w:szCs w:val="24"/>
          <w:lang w:val="en-GB"/>
        </w:rPr>
        <w:t>Rudnya</w:t>
      </w:r>
      <w:proofErr w:type="spellEnd"/>
      <w:r w:rsidRPr="001F4007">
        <w:rPr>
          <w:rFonts w:ascii="Times New Roman" w:hAnsi="Times New Roman"/>
          <w:sz w:val="24"/>
          <w:szCs w:val="24"/>
          <w:lang w:val="en-GB"/>
        </w:rPr>
        <w:t xml:space="preserve"> </w:t>
      </w:r>
      <w:proofErr w:type="spellStart"/>
      <w:r w:rsidRPr="001F4007">
        <w:rPr>
          <w:rFonts w:ascii="Times New Roman" w:hAnsi="Times New Roman"/>
          <w:sz w:val="24"/>
          <w:szCs w:val="24"/>
          <w:lang w:val="en-GB"/>
        </w:rPr>
        <w:t>Serteyskaya</w:t>
      </w:r>
      <w:proofErr w:type="spellEnd"/>
      <w:r w:rsidRPr="001F4007">
        <w:rPr>
          <w:rFonts w:ascii="Times New Roman" w:hAnsi="Times New Roman"/>
          <w:sz w:val="24"/>
          <w:szCs w:val="24"/>
          <w:lang w:val="en-GB"/>
        </w:rPr>
        <w:t xml:space="preserve"> site have been dated 5211-4962 BC (Mazurkevich, Miklyaev, 1998). The fragments of vessels of phases "d" and "d-1" were found in the same layer, but in different parts of the site. The charcoal dating from the base of the oval ground structure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w:t>
      </w:r>
      <w:r w:rsidR="00003182" w:rsidRPr="001F4007">
        <w:rPr>
          <w:rFonts w:ascii="Times New Roman" w:hAnsi="Times New Roman"/>
          <w:sz w:val="24"/>
          <w:szCs w:val="24"/>
          <w:lang w:val="en-GB"/>
        </w:rPr>
        <w:t>5339-4948 cal. B.C.</w:t>
      </w:r>
      <w:r w:rsidRPr="001F4007">
        <w:rPr>
          <w:rFonts w:ascii="Times New Roman" w:hAnsi="Times New Roman"/>
          <w:sz w:val="24"/>
          <w:szCs w:val="24"/>
          <w:lang w:val="en-GB"/>
        </w:rPr>
        <w:t xml:space="preserve">) can also be dated to this time.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(5339-4948 cal. B.C.) and the dating of the remains of wooden objects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II: 5208-4849 cal. B.C. and 5373-5213 cal. B.C. </w:t>
      </w:r>
    </w:p>
    <w:p w14:paraId="49C70C7D" w14:textId="270E682E"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dating of wood fragments from the layer overlying the cultural layer with the remains of the </w:t>
      </w:r>
      <w:proofErr w:type="spellStart"/>
      <w:r w:rsidRPr="001F4007">
        <w:rPr>
          <w:rFonts w:ascii="Times New Roman" w:hAnsi="Times New Roman"/>
          <w:sz w:val="24"/>
          <w:szCs w:val="24"/>
          <w:lang w:val="en-GB"/>
        </w:rPr>
        <w:t>Rudnya</w:t>
      </w:r>
      <w:proofErr w:type="spellEnd"/>
      <w:r w:rsidRPr="001F4007">
        <w:rPr>
          <w:rFonts w:ascii="Times New Roman" w:hAnsi="Times New Roman"/>
          <w:sz w:val="24"/>
          <w:szCs w:val="24"/>
          <w:lang w:val="en-GB"/>
        </w:rPr>
        <w:t xml:space="preserve"> culture around 4932-4608 cal. </w:t>
      </w:r>
      <w:proofErr w:type="spellStart"/>
      <w:r w:rsidRPr="001F4007">
        <w:rPr>
          <w:rFonts w:ascii="Times New Roman" w:hAnsi="Times New Roman"/>
          <w:sz w:val="24"/>
          <w:szCs w:val="24"/>
          <w:lang w:val="en-GB"/>
        </w:rPr>
        <w:t>b.c.</w:t>
      </w:r>
      <w:proofErr w:type="spellEnd"/>
      <w:r w:rsidRPr="001F4007">
        <w:rPr>
          <w:rFonts w:ascii="Times New Roman" w:hAnsi="Times New Roman"/>
          <w:sz w:val="24"/>
          <w:szCs w:val="24"/>
          <w:lang w:val="en-GB"/>
        </w:rPr>
        <w:t xml:space="preserve"> may mark the time of sapropel accumulation over the cultural remains of "layer B" during the slight transgression. Dating around 4766-4499 cal. </w:t>
      </w:r>
      <w:r w:rsidR="00003182" w:rsidRPr="001F4007">
        <w:rPr>
          <w:rFonts w:ascii="Times New Roman" w:hAnsi="Times New Roman"/>
          <w:sz w:val="24"/>
          <w:szCs w:val="24"/>
          <w:lang w:val="en-GB"/>
        </w:rPr>
        <w:t>B</w:t>
      </w:r>
      <w:r w:rsidRPr="001F4007">
        <w:rPr>
          <w:rFonts w:ascii="Times New Roman" w:hAnsi="Times New Roman"/>
          <w:sz w:val="24"/>
          <w:szCs w:val="24"/>
          <w:lang w:val="en-GB"/>
        </w:rPr>
        <w:t>.</w:t>
      </w:r>
      <w:r w:rsidR="00003182" w:rsidRPr="001F4007">
        <w:rPr>
          <w:rFonts w:ascii="Times New Roman" w:hAnsi="Times New Roman"/>
          <w:sz w:val="24"/>
          <w:szCs w:val="24"/>
          <w:lang w:val="en-GB"/>
        </w:rPr>
        <w:t>C</w:t>
      </w:r>
      <w:r w:rsidRPr="001F4007">
        <w:rPr>
          <w:rFonts w:ascii="Times New Roman" w:hAnsi="Times New Roman"/>
          <w:sz w:val="24"/>
          <w:szCs w:val="24"/>
          <w:lang w:val="en-GB"/>
        </w:rPr>
        <w:t xml:space="preserve">. possibly correlates with the emergence of stands on the mineral bank with materials from </w:t>
      </w:r>
      <w:r w:rsidRPr="001F4007">
        <w:rPr>
          <w:rFonts w:ascii="Times New Roman" w:hAnsi="Times New Roman"/>
          <w:sz w:val="24"/>
          <w:szCs w:val="24"/>
          <w:lang w:val="en-GB"/>
        </w:rPr>
        <w:lastRenderedPageBreak/>
        <w:t>the "e" phase.</w:t>
      </w:r>
    </w:p>
    <w:p w14:paraId="7CFD8DFE" w14:textId="3DCDBEA4"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Ceramics from phases "c-1" and "c-2" can be regarded as a synchronous phenomenon and it is acceptable to consider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system for these phases together. The main habitation area is the no</w:t>
      </w:r>
      <w:r w:rsidR="00003182" w:rsidRPr="001F4007">
        <w:rPr>
          <w:rFonts w:ascii="Times New Roman" w:hAnsi="Times New Roman"/>
          <w:sz w:val="24"/>
          <w:szCs w:val="24"/>
          <w:lang w:val="en-GB"/>
        </w:rPr>
        <w:t xml:space="preserve">rthern part of the </w:t>
      </w:r>
      <w:proofErr w:type="spellStart"/>
      <w:r w:rsidR="00003182" w:rsidRPr="001F4007">
        <w:rPr>
          <w:rFonts w:ascii="Times New Roman" w:hAnsi="Times New Roman"/>
          <w:sz w:val="24"/>
          <w:szCs w:val="24"/>
          <w:lang w:val="en-GB"/>
        </w:rPr>
        <w:t>microrayon</w:t>
      </w:r>
      <w:proofErr w:type="spellEnd"/>
      <w:r w:rsidR="00003182" w:rsidRPr="001F4007">
        <w:rPr>
          <w:rFonts w:ascii="Times New Roman" w:hAnsi="Times New Roman"/>
          <w:sz w:val="24"/>
          <w:szCs w:val="24"/>
          <w:lang w:val="en-GB"/>
        </w:rPr>
        <w:t xml:space="preserv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can be regarded as a basic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by the presence of a dwelling there. In </w:t>
      </w:r>
      <w:proofErr w:type="spellStart"/>
      <w:r w:rsidRPr="001F4007">
        <w:rPr>
          <w:rFonts w:ascii="Times New Roman" w:hAnsi="Times New Roman"/>
          <w:sz w:val="24"/>
          <w:szCs w:val="24"/>
          <w:lang w:val="en-GB"/>
        </w:rPr>
        <w:t>favor</w:t>
      </w:r>
      <w:proofErr w:type="spellEnd"/>
      <w:r w:rsidRPr="001F4007">
        <w:rPr>
          <w:rFonts w:ascii="Times New Roman" w:hAnsi="Times New Roman"/>
          <w:sz w:val="24"/>
          <w:szCs w:val="24"/>
          <w:lang w:val="en-GB"/>
        </w:rPr>
        <w:t xml:space="preserve"> of this assumption also speaks about the transportation of the raw materials and/or vessels made from the raw materials characteristic for the southern basin to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The remaining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will be associated with sites convenient for fishing and fishing activities on the banks of reservoirs, occasional use of a site suitable for wintering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3-3 and for monitoring the area. The small number of ceramics/</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on the migration trails, as opposed to the number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and the number of monument vessels in the coastal zone, suggests the focus of the economic model on the extraction of water resources.</w:t>
      </w:r>
    </w:p>
    <w:p w14:paraId="263D316D" w14:textId="388473A1"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chronological episodes with ceramics of phases "d" and "d-1" demonstrate a very weak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the valley and orientation towards the extraction of water resources. This is the time when the first remains of fishing constructions, such as pinnacles, were discovered. The absence of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with the remains of permanent dwelling structures and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on migration paths is noteworthy.</w:t>
      </w:r>
    </w:p>
    <w:p w14:paraId="149DE8A9" w14:textId="6BF61742"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system in the phase "e" demonstrates the orientation towards water production and the high level of development of the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valley, with the control of the entrance to the lake system. Presumably the base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was in the northern part at </w:t>
      </w:r>
      <w:proofErr w:type="spellStart"/>
      <w:r w:rsidR="00003182"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w:t>
      </w:r>
    </w:p>
    <w:p w14:paraId="08F34881" w14:textId="7404C685"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of the </w:t>
      </w:r>
      <w:proofErr w:type="spellStart"/>
      <w:r w:rsidRPr="001F4007">
        <w:rPr>
          <w:rFonts w:ascii="Times New Roman" w:hAnsi="Times New Roman"/>
          <w:sz w:val="24"/>
          <w:szCs w:val="24"/>
          <w:lang w:val="en-GB"/>
        </w:rPr>
        <w:t>Rudnya</w:t>
      </w:r>
      <w:proofErr w:type="spellEnd"/>
      <w:r w:rsidRPr="001F4007">
        <w:rPr>
          <w:rFonts w:ascii="Times New Roman" w:hAnsi="Times New Roman"/>
          <w:sz w:val="24"/>
          <w:szCs w:val="24"/>
          <w:lang w:val="en-GB"/>
        </w:rPr>
        <w:t xml:space="preserve"> culture, belonging to the range of the Narva community cultures, illustrates a water exploitation orientation at all stages, settling along the banks of the paleontological basin. Studies of the contents of clay vessels and their use (through traces of use) also point to different functional patterns of vessel use among hunter-gatherer-fisher communities (</w:t>
      </w:r>
      <w:proofErr w:type="spellStart"/>
      <w:r w:rsidRPr="001F4007">
        <w:rPr>
          <w:rFonts w:ascii="Times New Roman" w:hAnsi="Times New Roman"/>
          <w:sz w:val="24"/>
          <w:szCs w:val="24"/>
          <w:lang w:val="en-GB"/>
        </w:rPr>
        <w:t>Courel</w:t>
      </w:r>
      <w:proofErr w:type="spellEnd"/>
      <w:r w:rsidRPr="001F4007">
        <w:rPr>
          <w:rFonts w:ascii="Times New Roman" w:hAnsi="Times New Roman"/>
          <w:sz w:val="24"/>
          <w:szCs w:val="24"/>
          <w:lang w:val="en-GB"/>
        </w:rPr>
        <w:t xml:space="preserve"> et al., 2020; 2021; Papakosta et al., 2019; Pääkkönen et al., 2016). The Narva community is characterised by a high percentage of vessels used for handling aquatic products (including vessels from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in the </w:t>
      </w:r>
      <w:proofErr w:type="spellStart"/>
      <w:r w:rsidR="00C87801" w:rsidRPr="001F4007">
        <w:rPr>
          <w:rFonts w:ascii="Times New Roman" w:hAnsi="Times New Roman"/>
          <w:sz w:val="24"/>
          <w:szCs w:val="24"/>
          <w:lang w:val="en-GB"/>
        </w:rPr>
        <w:t>Serteysky</w:t>
      </w:r>
      <w:proofErr w:type="spellEnd"/>
      <w:r w:rsidR="00C87801" w:rsidRPr="001F4007">
        <w:rPr>
          <w:rFonts w:ascii="Times New Roman" w:hAnsi="Times New Roman"/>
          <w:sz w:val="24"/>
          <w:szCs w:val="24"/>
          <w:lang w:val="en-GB"/>
        </w:rPr>
        <w:t xml:space="preserve"> microregion </w:t>
      </w:r>
      <w:r w:rsidRPr="001F4007">
        <w:rPr>
          <w:rFonts w:ascii="Times New Roman" w:hAnsi="Times New Roman"/>
          <w:sz w:val="24"/>
          <w:szCs w:val="24"/>
          <w:lang w:val="en-GB"/>
        </w:rPr>
        <w:t>(</w:t>
      </w:r>
      <w:proofErr w:type="spellStart"/>
      <w:r w:rsidRPr="001F4007">
        <w:rPr>
          <w:rFonts w:ascii="Times New Roman" w:hAnsi="Times New Roman"/>
          <w:sz w:val="24"/>
          <w:szCs w:val="24"/>
          <w:lang w:val="en-GB"/>
        </w:rPr>
        <w:t>Courel</w:t>
      </w:r>
      <w:proofErr w:type="spellEnd"/>
      <w:r w:rsidRPr="001F4007">
        <w:rPr>
          <w:rFonts w:ascii="Times New Roman" w:hAnsi="Times New Roman"/>
          <w:sz w:val="24"/>
          <w:szCs w:val="24"/>
          <w:lang w:val="en-GB"/>
        </w:rPr>
        <w:t xml:space="preserve"> et al., 2020)).</w:t>
      </w:r>
    </w:p>
    <w:p w14:paraId="5F9ED0BF" w14:textId="303938FF" w:rsidR="00436E07" w:rsidRPr="001F4007" w:rsidRDefault="00436E07"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Hunting was carried out according to different principles, which are not reflected in the </w:t>
      </w:r>
      <w:r w:rsidR="00003182" w:rsidRPr="001F4007">
        <w:rPr>
          <w:rFonts w:ascii="Times New Roman" w:hAnsi="Times New Roman"/>
          <w:sz w:val="24"/>
          <w:szCs w:val="24"/>
          <w:lang w:val="en-GB"/>
        </w:rPr>
        <w:t>settlements</w:t>
      </w:r>
      <w:r w:rsidRPr="001F4007">
        <w:rPr>
          <w:rFonts w:ascii="Times New Roman" w:hAnsi="Times New Roman"/>
          <w:sz w:val="24"/>
          <w:szCs w:val="24"/>
          <w:lang w:val="en-GB"/>
        </w:rPr>
        <w:t xml:space="preserve"> system in the </w:t>
      </w:r>
      <w:proofErr w:type="spellStart"/>
      <w:r w:rsidR="00C87801"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valley, as opposed to the population of earlier times.</w:t>
      </w:r>
    </w:p>
    <w:p w14:paraId="6BAE778D" w14:textId="342C4728" w:rsidR="00737783" w:rsidRPr="001F4007" w:rsidRDefault="00DC40B5" w:rsidP="00436E07">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A brief episode with the appearance of bearers of the </w:t>
      </w:r>
      <w:proofErr w:type="spellStart"/>
      <w:r w:rsidRPr="001F4007">
        <w:rPr>
          <w:rFonts w:ascii="Times New Roman" w:hAnsi="Times New Roman"/>
          <w:sz w:val="24"/>
          <w:szCs w:val="24"/>
          <w:lang w:val="en-GB"/>
        </w:rPr>
        <w:t>Khvalyn</w:t>
      </w:r>
      <w:proofErr w:type="spellEnd"/>
      <w:r w:rsidRPr="001F4007">
        <w:rPr>
          <w:rFonts w:ascii="Times New Roman" w:hAnsi="Times New Roman"/>
          <w:sz w:val="24"/>
          <w:szCs w:val="24"/>
          <w:lang w:val="en-GB"/>
        </w:rPr>
        <w:t xml:space="preserve"> culture in the </w:t>
      </w:r>
      <w:proofErr w:type="spellStart"/>
      <w:r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valley stands out in the middle of the 5th millennium B.C. The monuments are located in the topographic type 1 and 4 in the northern and southern basin. The following structures are fixed. Pits in them or next to them vessels and flint implements, flint daggers.</w:t>
      </w:r>
    </w:p>
    <w:p w14:paraId="3FD77B4A" w14:textId="5952ECE6" w:rsidR="00F85C6E" w:rsidRPr="001F4007" w:rsidRDefault="00F85C6E" w:rsidP="00AB0525">
      <w:pPr>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 xml:space="preserve">The second half of the 5th millennium B.C. - the first half of the 4th millennium B.C. are the antiquities of steppe Eneolithic cultures, originating from the Upper and Middle Don. The </w:t>
      </w:r>
      <w:r w:rsidR="00892F99" w:rsidRPr="001F4007">
        <w:rPr>
          <w:rFonts w:ascii="Times New Roman" w:hAnsi="Times New Roman"/>
          <w:sz w:val="24"/>
          <w:szCs w:val="24"/>
          <w:lang w:val="en-GB"/>
        </w:rPr>
        <w:lastRenderedPageBreak/>
        <w:t>settlements</w:t>
      </w:r>
      <w:r w:rsidRPr="001F4007">
        <w:rPr>
          <w:rFonts w:ascii="Times New Roman" w:hAnsi="Times New Roman"/>
          <w:sz w:val="24"/>
          <w:szCs w:val="24"/>
          <w:lang w:val="en-GB"/>
        </w:rPr>
        <w:t xml:space="preserve"> are situated in 1 (6), 3 (1) and 4 (1) topographic types. At the </w:t>
      </w:r>
      <w:proofErr w:type="spellStart"/>
      <w:r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XIV sites, situated by the reservoir shore, the remains of ground dwellings of columnar construction, with ground hearths were found. Numerous finds of different fishing structures at </w:t>
      </w:r>
      <w:proofErr w:type="spellStart"/>
      <w:r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I, II-2 date to that time</w:t>
      </w:r>
      <w:r w:rsidR="005D5B88" w:rsidRPr="001F4007">
        <w:rPr>
          <w:rFonts w:ascii="Times New Roman" w:hAnsi="Times New Roman"/>
          <w:sz w:val="24"/>
          <w:szCs w:val="24"/>
          <w:lang w:val="en-GB"/>
        </w:rPr>
        <w:t xml:space="preserve"> (Kittel et al. 2020; 2020a; Mazurkevich et al. 2020)</w:t>
      </w:r>
      <w:r w:rsidRPr="001F4007">
        <w:rPr>
          <w:rFonts w:ascii="Times New Roman" w:hAnsi="Times New Roman"/>
          <w:sz w:val="24"/>
          <w:szCs w:val="24"/>
          <w:lang w:val="en-GB"/>
        </w:rPr>
        <w:t>. This distribution of sites suggests the following structure. The population was focused on passive fishery in the southern basin. The base settlement was in the northern part of the valley. The 'migration paths' and the entrance to the valley were controlled.</w:t>
      </w:r>
    </w:p>
    <w:p w14:paraId="702BC200" w14:textId="60CA1F63" w:rsidR="00333EE1" w:rsidRPr="001F4007" w:rsidRDefault="00DE53F6" w:rsidP="00892F99">
      <w:pPr>
        <w:widowControl w:val="0"/>
        <w:autoSpaceDE w:val="0"/>
        <w:autoSpaceDN w:val="0"/>
        <w:adjustRightInd w:val="0"/>
        <w:spacing w:line="360" w:lineRule="auto"/>
        <w:ind w:firstLine="708"/>
        <w:contextualSpacing/>
        <w:jc w:val="both"/>
        <w:rPr>
          <w:rFonts w:ascii="Times New Roman" w:hAnsi="Times New Roman"/>
          <w:sz w:val="24"/>
          <w:szCs w:val="24"/>
          <w:lang w:val="en-GB"/>
        </w:rPr>
      </w:pPr>
      <w:r w:rsidRPr="001F4007">
        <w:rPr>
          <w:rFonts w:ascii="Times New Roman" w:hAnsi="Times New Roman"/>
          <w:sz w:val="24"/>
          <w:szCs w:val="24"/>
          <w:lang w:val="en-GB"/>
        </w:rPr>
        <w:t>A culture of pile-dwelling builders emerges at the end of the 4th millennium B.C</w:t>
      </w:r>
      <w:r w:rsidR="00892F99" w:rsidRPr="001F4007">
        <w:rPr>
          <w:rFonts w:ascii="Times New Roman" w:hAnsi="Times New Roman"/>
          <w:sz w:val="24"/>
          <w:szCs w:val="24"/>
          <w:lang w:val="en-GB"/>
        </w:rPr>
        <w:t xml:space="preserve">. At the first stage, the </w:t>
      </w:r>
      <w:proofErr w:type="spellStart"/>
      <w:r w:rsidR="00892F99" w:rsidRPr="001F4007">
        <w:rPr>
          <w:rFonts w:ascii="Times New Roman" w:hAnsi="Times New Roman"/>
          <w:sz w:val="24"/>
          <w:szCs w:val="24"/>
          <w:lang w:val="en-GB"/>
        </w:rPr>
        <w:t>Usviyti</w:t>
      </w:r>
      <w:proofErr w:type="spellEnd"/>
      <w:r w:rsidRPr="001F4007">
        <w:rPr>
          <w:rFonts w:ascii="Times New Roman" w:hAnsi="Times New Roman"/>
          <w:sz w:val="24"/>
          <w:szCs w:val="24"/>
          <w:lang w:val="en-GB"/>
        </w:rPr>
        <w:t xml:space="preserve">, all known </w:t>
      </w:r>
      <w:r w:rsidR="00892F99" w:rsidRPr="001F4007">
        <w:rPr>
          <w:rFonts w:ascii="Times New Roman" w:hAnsi="Times New Roman"/>
          <w:sz w:val="24"/>
          <w:szCs w:val="24"/>
          <w:lang w:val="en-GB"/>
        </w:rPr>
        <w:t>settlement</w:t>
      </w:r>
      <w:r w:rsidRPr="001F4007">
        <w:rPr>
          <w:rFonts w:ascii="Times New Roman" w:hAnsi="Times New Roman"/>
          <w:sz w:val="24"/>
          <w:szCs w:val="24"/>
          <w:lang w:val="en-GB"/>
        </w:rPr>
        <w:t xml:space="preserve">s were concentrated in the southern basin. The settlements were year-round. The northern part of the valley remained undeveloped. From the beginning of the 3rd millennium BC the northern part of the valley has been gradually reclaimed. This is testified by single finds of pottery and flint implements. Remains of a circular ground dwelling with a ground hearth in the centre are found at the </w:t>
      </w:r>
      <w:proofErr w:type="spellStart"/>
      <w:r w:rsidRPr="001F4007">
        <w:rPr>
          <w:rFonts w:ascii="Times New Roman" w:hAnsi="Times New Roman"/>
          <w:sz w:val="24"/>
          <w:szCs w:val="24"/>
          <w:lang w:val="en-GB"/>
        </w:rPr>
        <w:t>Serteya</w:t>
      </w:r>
      <w:proofErr w:type="spellEnd"/>
      <w:r w:rsidRPr="001F4007">
        <w:rPr>
          <w:rFonts w:ascii="Times New Roman" w:hAnsi="Times New Roman"/>
          <w:sz w:val="24"/>
          <w:szCs w:val="24"/>
          <w:lang w:val="en-GB"/>
        </w:rPr>
        <w:t xml:space="preserve"> 3-3 site. In the northern part there is a cult building from this time (Mazurkevich et al. 2019). The basic, year-round settlements remain in the southern part of the valley.</w:t>
      </w:r>
    </w:p>
    <w:p w14:paraId="22DB0642" w14:textId="77777777" w:rsidR="00D13122" w:rsidRPr="00DE53F6" w:rsidRDefault="00D13122" w:rsidP="00AB0525">
      <w:pPr>
        <w:spacing w:line="360" w:lineRule="auto"/>
        <w:ind w:firstLine="708"/>
        <w:contextualSpacing/>
        <w:jc w:val="both"/>
        <w:rPr>
          <w:rFonts w:ascii="Times New Roman" w:hAnsi="Times New Roman"/>
          <w:sz w:val="24"/>
          <w:szCs w:val="24"/>
        </w:rPr>
      </w:pPr>
    </w:p>
    <w:p w14:paraId="7818B49A" w14:textId="66D5717A" w:rsidR="00333EE1" w:rsidRPr="00DE53F6" w:rsidRDefault="00333EE1" w:rsidP="00AB0525">
      <w:pPr>
        <w:spacing w:line="360" w:lineRule="auto"/>
        <w:ind w:firstLine="708"/>
        <w:contextualSpacing/>
        <w:jc w:val="both"/>
        <w:rPr>
          <w:rFonts w:ascii="Times New Roman" w:hAnsi="Times New Roman"/>
          <w:sz w:val="24"/>
          <w:szCs w:val="24"/>
        </w:rPr>
      </w:pPr>
    </w:p>
    <w:p w14:paraId="256F4723" w14:textId="3CAFAA64" w:rsidR="00333EE1" w:rsidRPr="000A0C37" w:rsidRDefault="000A0C37" w:rsidP="00AB0525">
      <w:pPr>
        <w:spacing w:line="360" w:lineRule="auto"/>
        <w:ind w:firstLine="708"/>
        <w:contextualSpacing/>
        <w:jc w:val="both"/>
        <w:rPr>
          <w:rFonts w:ascii="Times New Roman" w:hAnsi="Times New Roman"/>
          <w:sz w:val="24"/>
          <w:szCs w:val="24"/>
          <w:lang w:val="pl-PL"/>
        </w:rPr>
      </w:pPr>
      <w:proofErr w:type="spellStart"/>
      <w:r>
        <w:rPr>
          <w:rFonts w:ascii="Times New Roman" w:hAnsi="Times New Roman"/>
          <w:sz w:val="24"/>
          <w:szCs w:val="24"/>
          <w:lang w:val="pl-PL"/>
        </w:rPr>
        <w:t>References</w:t>
      </w:r>
      <w:proofErr w:type="spellEnd"/>
      <w:r>
        <w:rPr>
          <w:rFonts w:ascii="Times New Roman" w:hAnsi="Times New Roman"/>
          <w:sz w:val="24"/>
          <w:szCs w:val="24"/>
          <w:lang w:val="pl-PL"/>
        </w:rPr>
        <w:t>:</w:t>
      </w:r>
    </w:p>
    <w:p w14:paraId="21E73110" w14:textId="48A1AE68" w:rsidR="00AB0525" w:rsidRPr="000A0C37" w:rsidRDefault="00AB0525" w:rsidP="000A0C37">
      <w:pPr>
        <w:ind w:firstLine="708"/>
        <w:contextualSpacing/>
        <w:jc w:val="both"/>
        <w:rPr>
          <w:rFonts w:ascii="Times New Roman" w:hAnsi="Times New Roman"/>
          <w:sz w:val="20"/>
          <w:szCs w:val="20"/>
          <w:lang w:val="ru-RU"/>
        </w:rPr>
      </w:pPr>
      <w:r w:rsidRPr="000A0C37">
        <w:rPr>
          <w:rFonts w:ascii="Times New Roman" w:hAnsi="Times New Roman"/>
          <w:sz w:val="20"/>
          <w:szCs w:val="20"/>
          <w:lang w:val="ru-RU"/>
        </w:rPr>
        <w:t xml:space="preserve">Долбунова Е.В. Древнейшие керамические традиции Днепро-Двинского междуречья </w:t>
      </w:r>
      <w:r w:rsidRPr="000A0C37">
        <w:rPr>
          <w:rFonts w:ascii="Times New Roman" w:hAnsi="Times New Roman"/>
          <w:sz w:val="20"/>
          <w:szCs w:val="20"/>
        </w:rPr>
        <w:t>VII</w:t>
      </w:r>
      <w:r w:rsidRPr="000A0C37">
        <w:rPr>
          <w:rFonts w:ascii="Times New Roman" w:hAnsi="Times New Roman"/>
          <w:sz w:val="20"/>
          <w:szCs w:val="20"/>
          <w:lang w:val="ru-RU"/>
        </w:rPr>
        <w:t>–</w:t>
      </w:r>
      <w:r w:rsidRPr="000A0C37">
        <w:rPr>
          <w:rFonts w:ascii="Times New Roman" w:hAnsi="Times New Roman"/>
          <w:sz w:val="20"/>
          <w:szCs w:val="20"/>
        </w:rPr>
        <w:t>VI</w:t>
      </w:r>
      <w:r w:rsidRPr="000A0C37">
        <w:rPr>
          <w:rFonts w:ascii="Times New Roman" w:hAnsi="Times New Roman"/>
          <w:sz w:val="20"/>
          <w:szCs w:val="20"/>
          <w:lang w:val="ru-RU"/>
        </w:rPr>
        <w:t xml:space="preserve"> тыс. до н.э. / Е. В. Долбунова// Проблемы истории, филологии, культуры. №1. М.-Магнитогорск, 2014. С.132–147. </w:t>
      </w:r>
    </w:p>
    <w:p w14:paraId="3D51F713" w14:textId="77777777" w:rsidR="00AB0525" w:rsidRPr="000A0C37" w:rsidRDefault="00AB0525" w:rsidP="000A0C37">
      <w:pPr>
        <w:ind w:firstLine="708"/>
        <w:contextualSpacing/>
        <w:jc w:val="both"/>
        <w:rPr>
          <w:rFonts w:ascii="Times New Roman" w:hAnsi="Times New Roman"/>
          <w:sz w:val="20"/>
          <w:szCs w:val="20"/>
          <w:lang w:val="ru-RU"/>
        </w:rPr>
      </w:pPr>
      <w:r w:rsidRPr="000A0C37">
        <w:rPr>
          <w:rFonts w:ascii="Times New Roman" w:hAnsi="Times New Roman"/>
          <w:sz w:val="20"/>
          <w:szCs w:val="20"/>
          <w:lang w:val="ru-RU"/>
        </w:rPr>
        <w:t>Калечиц Е.Г. Человек и среда обитания. Восточная Беларусь/ Е.Г.  Калечиц. Минск: УП «Экопер спектива», 2003. 223 с.</w:t>
      </w:r>
    </w:p>
    <w:p w14:paraId="0C805997" w14:textId="77777777" w:rsidR="00AB0525" w:rsidRPr="000A0C37" w:rsidRDefault="00AB0525" w:rsidP="000A0C37">
      <w:pPr>
        <w:widowControl w:val="0"/>
        <w:autoSpaceDE w:val="0"/>
        <w:autoSpaceDN w:val="0"/>
        <w:adjustRightInd w:val="0"/>
        <w:ind w:firstLine="708"/>
        <w:contextualSpacing/>
        <w:jc w:val="both"/>
        <w:rPr>
          <w:rFonts w:ascii="Times New Roman" w:hAnsi="Times New Roman"/>
          <w:sz w:val="20"/>
          <w:szCs w:val="20"/>
          <w:lang w:val="ru-RU"/>
        </w:rPr>
      </w:pPr>
      <w:r w:rsidRPr="000A0C37">
        <w:rPr>
          <w:rFonts w:ascii="Times New Roman" w:hAnsi="Times New Roman"/>
          <w:i/>
          <w:sz w:val="20"/>
          <w:szCs w:val="20"/>
          <w:lang w:val="ru-RU"/>
        </w:rPr>
        <w:t>Лозе И.Л.</w:t>
      </w:r>
      <w:r w:rsidRPr="000A0C37">
        <w:rPr>
          <w:rFonts w:ascii="Times New Roman" w:hAnsi="Times New Roman"/>
          <w:sz w:val="20"/>
          <w:szCs w:val="20"/>
          <w:lang w:val="ru-RU"/>
        </w:rPr>
        <w:t xml:space="preserve"> Поселения каменного века Лубанской низины. Мезолит, ранний и средний неолит. Рига: Зинатне, 1988. 211 с. </w:t>
      </w:r>
    </w:p>
    <w:p w14:paraId="32F9A67C" w14:textId="77777777" w:rsidR="00AB0525" w:rsidRPr="000A0C37" w:rsidRDefault="00AB0525" w:rsidP="000A0C37">
      <w:pPr>
        <w:ind w:firstLine="708"/>
        <w:contextualSpacing/>
        <w:jc w:val="both"/>
        <w:rPr>
          <w:rFonts w:ascii="Times New Roman" w:hAnsi="Times New Roman"/>
          <w:sz w:val="20"/>
          <w:szCs w:val="20"/>
          <w:lang w:val="ru-RU"/>
        </w:rPr>
      </w:pPr>
    </w:p>
    <w:p w14:paraId="2E74B877" w14:textId="77777777" w:rsidR="00AB0525" w:rsidRPr="000A0C37" w:rsidRDefault="00AB0525" w:rsidP="000A0C37">
      <w:pPr>
        <w:ind w:firstLine="708"/>
        <w:contextualSpacing/>
        <w:jc w:val="both"/>
        <w:rPr>
          <w:rFonts w:ascii="Times New Roman" w:hAnsi="Times New Roman"/>
          <w:color w:val="231F20"/>
          <w:sz w:val="20"/>
          <w:szCs w:val="20"/>
          <w:lang w:val="ru-RU"/>
        </w:rPr>
      </w:pPr>
      <w:r w:rsidRPr="000A0C37">
        <w:rPr>
          <w:rFonts w:ascii="Times New Roman" w:hAnsi="Times New Roman"/>
          <w:sz w:val="20"/>
          <w:szCs w:val="20"/>
          <w:lang w:val="ru-RU"/>
        </w:rPr>
        <w:t xml:space="preserve">Мазуркевич А.Н., Кулькова М.А., Полковникова М.Э., Савельева Л.Э. Ранненеолитические памятники Ловатско-Двинского междуречья/ А.Н. Мазуркевич, М.А. Кулькова, М.Э. Полковникова, Л.Э. Савельева // Неолит–энеолит юга и неолит севера Восточной Европы. СПб: ИИМК РАН, 2003. С. 260–267.  </w:t>
      </w:r>
    </w:p>
    <w:p w14:paraId="4ED589C4" w14:textId="77777777" w:rsidR="00AB0525" w:rsidRPr="000A0C37" w:rsidRDefault="00AB0525" w:rsidP="000A0C37">
      <w:pPr>
        <w:ind w:firstLine="708"/>
        <w:contextualSpacing/>
        <w:jc w:val="both"/>
        <w:rPr>
          <w:rFonts w:ascii="Times New Roman" w:hAnsi="Times New Roman"/>
          <w:color w:val="231F20"/>
          <w:sz w:val="20"/>
          <w:szCs w:val="20"/>
          <w:lang w:val="ru-RU"/>
        </w:rPr>
      </w:pPr>
      <w:r w:rsidRPr="000A0C37">
        <w:rPr>
          <w:rFonts w:ascii="Times New Roman" w:hAnsi="Times New Roman"/>
          <w:color w:val="231F20"/>
          <w:sz w:val="20"/>
          <w:szCs w:val="20"/>
          <w:lang w:val="ru-RU"/>
        </w:rPr>
        <w:t xml:space="preserve">Мазуркевич А.Н., Морозов </w:t>
      </w:r>
      <w:r w:rsidRPr="000A0C37">
        <w:rPr>
          <w:rFonts w:ascii="Times New Roman" w:hAnsi="Times New Roman"/>
          <w:color w:val="231F20"/>
          <w:sz w:val="20"/>
          <w:szCs w:val="20"/>
        </w:rPr>
        <w:t>C</w:t>
      </w:r>
      <w:r w:rsidRPr="000A0C37">
        <w:rPr>
          <w:rFonts w:ascii="Times New Roman" w:hAnsi="Times New Roman"/>
          <w:color w:val="231F20"/>
          <w:sz w:val="20"/>
          <w:szCs w:val="20"/>
          <w:lang w:val="ru-RU"/>
        </w:rPr>
        <w:t>.</w:t>
      </w:r>
      <w:r w:rsidRPr="000A0C37">
        <w:rPr>
          <w:rFonts w:ascii="Times New Roman" w:hAnsi="Times New Roman"/>
          <w:color w:val="231F20"/>
          <w:sz w:val="20"/>
          <w:szCs w:val="20"/>
        </w:rPr>
        <w:t>B</w:t>
      </w:r>
      <w:r w:rsidRPr="000A0C37">
        <w:rPr>
          <w:rFonts w:ascii="Times New Roman" w:hAnsi="Times New Roman"/>
          <w:color w:val="231F20"/>
          <w:sz w:val="20"/>
          <w:szCs w:val="20"/>
          <w:lang w:val="ru-RU"/>
        </w:rPr>
        <w:t xml:space="preserve">., Гук Д.Ю., Долуханов П.М. Опыт интеграции СУБД и ГИС-технологий в археологических исследованиях/ А.Н. Мазуркевич, </w:t>
      </w:r>
      <w:r w:rsidRPr="000A0C37">
        <w:rPr>
          <w:rFonts w:ascii="Times New Roman" w:hAnsi="Times New Roman"/>
          <w:color w:val="231F20"/>
          <w:sz w:val="20"/>
          <w:szCs w:val="20"/>
        </w:rPr>
        <w:t>C</w:t>
      </w:r>
      <w:r w:rsidRPr="000A0C37">
        <w:rPr>
          <w:rFonts w:ascii="Times New Roman" w:hAnsi="Times New Roman"/>
          <w:color w:val="231F20"/>
          <w:sz w:val="20"/>
          <w:szCs w:val="20"/>
          <w:lang w:val="ru-RU"/>
        </w:rPr>
        <w:t>.</w:t>
      </w:r>
      <w:r w:rsidRPr="000A0C37">
        <w:rPr>
          <w:rFonts w:ascii="Times New Roman" w:hAnsi="Times New Roman"/>
          <w:color w:val="231F20"/>
          <w:sz w:val="20"/>
          <w:szCs w:val="20"/>
        </w:rPr>
        <w:t>B</w:t>
      </w:r>
      <w:r w:rsidRPr="000A0C37">
        <w:rPr>
          <w:rFonts w:ascii="Times New Roman" w:hAnsi="Times New Roman"/>
          <w:color w:val="231F20"/>
          <w:sz w:val="20"/>
          <w:szCs w:val="20"/>
          <w:lang w:val="ru-RU"/>
        </w:rPr>
        <w:t>. Морозов, Д.Ю. Гук, П.М. Долуханов// Археология и геоинформатика. Вып. 2. М: АГИС, ИА РАН, 2005а (</w:t>
      </w:r>
      <w:r w:rsidRPr="000A0C37">
        <w:rPr>
          <w:rFonts w:ascii="Times New Roman" w:hAnsi="Times New Roman"/>
          <w:color w:val="231F20"/>
          <w:sz w:val="20"/>
          <w:szCs w:val="20"/>
        </w:rPr>
        <w:t>CD</w:t>
      </w:r>
      <w:r w:rsidRPr="000A0C37">
        <w:rPr>
          <w:rFonts w:ascii="Times New Roman" w:hAnsi="Times New Roman"/>
          <w:color w:val="231F20"/>
          <w:sz w:val="20"/>
          <w:szCs w:val="20"/>
          <w:lang w:val="ru-RU"/>
        </w:rPr>
        <w:t>-</w:t>
      </w:r>
      <w:r w:rsidRPr="000A0C37">
        <w:rPr>
          <w:rFonts w:ascii="Times New Roman" w:hAnsi="Times New Roman"/>
          <w:color w:val="231F20"/>
          <w:sz w:val="20"/>
          <w:szCs w:val="20"/>
        </w:rPr>
        <w:t>ROM</w:t>
      </w:r>
      <w:r w:rsidRPr="000A0C37">
        <w:rPr>
          <w:rFonts w:ascii="Times New Roman" w:hAnsi="Times New Roman"/>
          <w:color w:val="231F20"/>
          <w:sz w:val="20"/>
          <w:szCs w:val="20"/>
          <w:lang w:val="ru-RU"/>
        </w:rPr>
        <w:t>).</w:t>
      </w:r>
    </w:p>
    <w:p w14:paraId="71130A8D" w14:textId="77777777" w:rsidR="00AB0525" w:rsidRPr="000A0C37" w:rsidRDefault="00AB0525" w:rsidP="000A0C37">
      <w:pPr>
        <w:ind w:firstLine="708"/>
        <w:contextualSpacing/>
        <w:jc w:val="both"/>
        <w:rPr>
          <w:rFonts w:ascii="Times New Roman" w:hAnsi="Times New Roman"/>
          <w:sz w:val="20"/>
          <w:szCs w:val="20"/>
          <w:lang w:val="ru-RU"/>
        </w:rPr>
      </w:pPr>
      <w:r w:rsidRPr="000A0C37">
        <w:rPr>
          <w:rFonts w:ascii="Times New Roman" w:hAnsi="Times New Roman"/>
          <w:color w:val="231F20"/>
          <w:sz w:val="20"/>
          <w:szCs w:val="20"/>
          <w:lang w:val="ru-RU"/>
        </w:rPr>
        <w:t>Мазуркевич А.Н., Полковникова М.Э. Особенности пространственной организации памятника Сертея 3 (Велижский район Смоленской области)/ А.Н. Мазуркевич, М.Э. Полковникова //</w:t>
      </w:r>
      <w:r w:rsidRPr="000A0C37">
        <w:rPr>
          <w:rFonts w:ascii="Times New Roman" w:hAnsi="Times New Roman"/>
          <w:color w:val="231F20"/>
          <w:sz w:val="20"/>
          <w:szCs w:val="20"/>
        </w:rPr>
        <w:t>Acta</w:t>
      </w:r>
      <w:r w:rsidRPr="000A0C37">
        <w:rPr>
          <w:rFonts w:ascii="Times New Roman" w:hAnsi="Times New Roman"/>
          <w:color w:val="231F20"/>
          <w:sz w:val="20"/>
          <w:szCs w:val="20"/>
          <w:lang w:val="ru-RU"/>
        </w:rPr>
        <w:t xml:space="preserve"> </w:t>
      </w:r>
      <w:proofErr w:type="spellStart"/>
      <w:r w:rsidRPr="000A0C37">
        <w:rPr>
          <w:rFonts w:ascii="Times New Roman" w:hAnsi="Times New Roman"/>
          <w:color w:val="231F20"/>
          <w:sz w:val="20"/>
          <w:szCs w:val="20"/>
        </w:rPr>
        <w:t>Archaeologica</w:t>
      </w:r>
      <w:proofErr w:type="spellEnd"/>
      <w:r w:rsidRPr="000A0C37">
        <w:rPr>
          <w:rFonts w:ascii="Times New Roman" w:hAnsi="Times New Roman"/>
          <w:color w:val="231F20"/>
          <w:sz w:val="20"/>
          <w:szCs w:val="20"/>
          <w:lang w:val="ru-RU"/>
        </w:rPr>
        <w:t xml:space="preserve"> </w:t>
      </w:r>
      <w:proofErr w:type="spellStart"/>
      <w:r w:rsidRPr="000A0C37">
        <w:rPr>
          <w:rFonts w:ascii="Times New Roman" w:hAnsi="Times New Roman"/>
          <w:color w:val="231F20"/>
          <w:sz w:val="20"/>
          <w:szCs w:val="20"/>
        </w:rPr>
        <w:t>Albaruthenica</w:t>
      </w:r>
      <w:proofErr w:type="spellEnd"/>
      <w:r w:rsidRPr="000A0C37">
        <w:rPr>
          <w:rFonts w:ascii="Times New Roman" w:hAnsi="Times New Roman"/>
          <w:color w:val="231F20"/>
          <w:sz w:val="20"/>
          <w:szCs w:val="20"/>
          <w:lang w:val="ru-RU"/>
        </w:rPr>
        <w:t xml:space="preserve">. 2008. </w:t>
      </w:r>
      <w:r w:rsidRPr="000A0C37">
        <w:rPr>
          <w:rFonts w:ascii="Times New Roman" w:hAnsi="Times New Roman"/>
          <w:color w:val="231F20"/>
          <w:sz w:val="20"/>
          <w:szCs w:val="20"/>
        </w:rPr>
        <w:t>Vol</w:t>
      </w:r>
      <w:r w:rsidRPr="000A0C37">
        <w:rPr>
          <w:rFonts w:ascii="Times New Roman" w:hAnsi="Times New Roman"/>
          <w:color w:val="231F20"/>
          <w:sz w:val="20"/>
          <w:szCs w:val="20"/>
          <w:lang w:val="ru-RU"/>
        </w:rPr>
        <w:t>.</w:t>
      </w:r>
      <w:r w:rsidRPr="000A0C37">
        <w:rPr>
          <w:rFonts w:ascii="Times New Roman" w:hAnsi="Times New Roman"/>
          <w:color w:val="231F20"/>
          <w:sz w:val="20"/>
          <w:szCs w:val="20"/>
        </w:rPr>
        <w:t>III</w:t>
      </w:r>
      <w:r w:rsidRPr="000A0C37">
        <w:rPr>
          <w:rFonts w:ascii="Times New Roman" w:hAnsi="Times New Roman"/>
          <w:color w:val="231F20"/>
          <w:sz w:val="20"/>
          <w:szCs w:val="20"/>
          <w:lang w:val="ru-RU"/>
        </w:rPr>
        <w:t>. С. 104–117.</w:t>
      </w:r>
    </w:p>
    <w:p w14:paraId="0288C813" w14:textId="77777777" w:rsidR="00AB0525" w:rsidRPr="000A0C37" w:rsidRDefault="00AB0525" w:rsidP="000A0C37">
      <w:pPr>
        <w:ind w:firstLine="708"/>
        <w:contextualSpacing/>
        <w:jc w:val="both"/>
        <w:rPr>
          <w:rFonts w:ascii="Times New Roman" w:hAnsi="Times New Roman"/>
          <w:sz w:val="20"/>
          <w:szCs w:val="20"/>
          <w:lang w:val="ru-RU"/>
        </w:rPr>
      </w:pPr>
      <w:r w:rsidRPr="000A0C37">
        <w:rPr>
          <w:rFonts w:ascii="Times New Roman" w:hAnsi="Times New Roman"/>
          <w:sz w:val="20"/>
          <w:szCs w:val="20"/>
          <w:lang w:val="ru-RU"/>
        </w:rPr>
        <w:t>Мазуркевич А.Н., Долбунова Е.В., Кулькова М.А. Древнейшие керамические традиции Восточной Европы/ А.Н. Мазуркевич, Е.В. Долбунова, М.А. Кулькова // Российский археологический ежегодник. СПб : «Университетский издательский консорциум», 2013. С. 27–108.</w:t>
      </w:r>
    </w:p>
    <w:p w14:paraId="54703653" w14:textId="77777777" w:rsidR="00AB0525" w:rsidRPr="000A0C37" w:rsidRDefault="00AB0525" w:rsidP="000A0C37">
      <w:pPr>
        <w:ind w:firstLine="708"/>
        <w:contextualSpacing/>
        <w:jc w:val="both"/>
        <w:rPr>
          <w:rFonts w:ascii="Times New Roman" w:hAnsi="Times New Roman"/>
          <w:sz w:val="20"/>
          <w:szCs w:val="20"/>
          <w:lang w:val="ru-RU"/>
        </w:rPr>
      </w:pPr>
      <w:r w:rsidRPr="000A0C37">
        <w:rPr>
          <w:rFonts w:ascii="Times New Roman" w:hAnsi="Times New Roman"/>
          <w:sz w:val="20"/>
          <w:szCs w:val="20"/>
          <w:lang w:val="ru-RU"/>
        </w:rPr>
        <w:t xml:space="preserve">Микляев А.М. Каменный–железный век в междуречье Западной Двины и Ловати/ А.М. Микляев // ПАВ. </w:t>
      </w:r>
      <w:r w:rsidRPr="000A0C37">
        <w:rPr>
          <w:rFonts w:ascii="Times New Roman" w:hAnsi="Times New Roman"/>
          <w:sz w:val="20"/>
          <w:szCs w:val="20"/>
        </w:rPr>
        <w:t>N</w:t>
      </w:r>
      <w:r w:rsidRPr="000A0C37">
        <w:rPr>
          <w:rFonts w:ascii="Times New Roman" w:hAnsi="Times New Roman"/>
          <w:sz w:val="20"/>
          <w:szCs w:val="20"/>
          <w:lang w:val="ru-RU"/>
        </w:rPr>
        <w:t xml:space="preserve">9. 1995. С. 8–42.  </w:t>
      </w:r>
    </w:p>
    <w:p w14:paraId="6FE0FB8C" w14:textId="77777777" w:rsidR="00AB0525" w:rsidRPr="000A0C37" w:rsidRDefault="00AB0525" w:rsidP="000A0C37">
      <w:pPr>
        <w:widowControl w:val="0"/>
        <w:autoSpaceDE w:val="0"/>
        <w:autoSpaceDN w:val="0"/>
        <w:adjustRightInd w:val="0"/>
        <w:ind w:firstLine="708"/>
        <w:contextualSpacing/>
        <w:jc w:val="both"/>
        <w:rPr>
          <w:rFonts w:ascii="Times New Roman" w:hAnsi="Times New Roman"/>
          <w:sz w:val="20"/>
          <w:szCs w:val="20"/>
          <w:lang w:val="ru-RU"/>
        </w:rPr>
      </w:pPr>
      <w:r w:rsidRPr="000A0C37">
        <w:rPr>
          <w:rFonts w:ascii="Times New Roman" w:hAnsi="Times New Roman"/>
          <w:sz w:val="20"/>
          <w:szCs w:val="20"/>
          <w:shd w:val="clear" w:color="auto" w:fill="FFFFFF"/>
          <w:lang w:val="ru-RU"/>
        </w:rPr>
        <w:t xml:space="preserve">Чернявский, Макс.М. Памятники нарвской культуры на территории Беларуси: состояние исследования и перспективы // Культурные процессы в циркумбалтийском пространстве в раннем и среднем голоцене = </w:t>
      </w:r>
      <w:r w:rsidRPr="000A0C37">
        <w:rPr>
          <w:rFonts w:ascii="Times New Roman" w:hAnsi="Times New Roman"/>
          <w:sz w:val="20"/>
          <w:szCs w:val="20"/>
          <w:shd w:val="clear" w:color="auto" w:fill="FFFFFF"/>
        </w:rPr>
        <w:t>Cultural</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processes</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in</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the</w:t>
      </w:r>
      <w:r w:rsidRPr="000A0C37">
        <w:rPr>
          <w:rFonts w:ascii="Times New Roman" w:hAnsi="Times New Roman"/>
          <w:sz w:val="20"/>
          <w:szCs w:val="20"/>
          <w:shd w:val="clear" w:color="auto" w:fill="FFFFFF"/>
          <w:lang w:val="ru-RU"/>
        </w:rPr>
        <w:t xml:space="preserve"> </w:t>
      </w:r>
      <w:proofErr w:type="spellStart"/>
      <w:r w:rsidRPr="000A0C37">
        <w:rPr>
          <w:rFonts w:ascii="Times New Roman" w:hAnsi="Times New Roman"/>
          <w:sz w:val="20"/>
          <w:szCs w:val="20"/>
          <w:shd w:val="clear" w:color="auto" w:fill="FFFFFF"/>
        </w:rPr>
        <w:t>Circum</w:t>
      </w:r>
      <w:proofErr w:type="spellEnd"/>
      <w:r w:rsidRPr="000A0C37">
        <w:rPr>
          <w:rFonts w:ascii="Times New Roman" w:hAnsi="Times New Roman"/>
          <w:sz w:val="20"/>
          <w:szCs w:val="20"/>
          <w:shd w:val="clear" w:color="auto" w:fill="FFFFFF"/>
          <w:lang w:val="ru-RU"/>
        </w:rPr>
        <w:t>-</w:t>
      </w:r>
      <w:r w:rsidRPr="000A0C37">
        <w:rPr>
          <w:rFonts w:ascii="Times New Roman" w:hAnsi="Times New Roman"/>
          <w:sz w:val="20"/>
          <w:szCs w:val="20"/>
          <w:shd w:val="clear" w:color="auto" w:fill="FFFFFF"/>
        </w:rPr>
        <w:t>Baltic</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space</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in</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the</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Early</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and</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Middle</w:t>
      </w:r>
      <w:r w:rsidRPr="000A0C37">
        <w:rPr>
          <w:rFonts w:ascii="Times New Roman" w:hAnsi="Times New Roman"/>
          <w:sz w:val="20"/>
          <w:szCs w:val="20"/>
          <w:shd w:val="clear" w:color="auto" w:fill="FFFFFF"/>
          <w:lang w:val="ru-RU"/>
        </w:rPr>
        <w:t xml:space="preserve"> </w:t>
      </w:r>
      <w:r w:rsidRPr="000A0C37">
        <w:rPr>
          <w:rFonts w:ascii="Times New Roman" w:hAnsi="Times New Roman"/>
          <w:sz w:val="20"/>
          <w:szCs w:val="20"/>
          <w:shd w:val="clear" w:color="auto" w:fill="FFFFFF"/>
        </w:rPr>
        <w:t>Holocene</w:t>
      </w:r>
      <w:r w:rsidRPr="000A0C37">
        <w:rPr>
          <w:rFonts w:ascii="Times New Roman" w:hAnsi="Times New Roman"/>
          <w:sz w:val="20"/>
          <w:szCs w:val="20"/>
          <w:shd w:val="clear" w:color="auto" w:fill="FFFFFF"/>
          <w:lang w:val="ru-RU"/>
        </w:rPr>
        <w:t>: Доклады международной научной конференции, посвященной 70-летию со дня рождения В.И. Тимофеева. Санкт-Петербург, Россия, 26—28 апреля 2017 г. / Рос. акад. наук, Музей антропологии и этнографии им. Петра Великого (Кунсткамера), Ин-т истории материальной культуры, Гос. Эрмитаж, Самарский гос. соц.-пед. ун-т; [отв. ред. Д.В. Герасимов]. — Санкт-Петербург: МАЭ РАН, 2017. — 280 с. — С. 247-251.</w:t>
      </w:r>
    </w:p>
    <w:p w14:paraId="251F2232" w14:textId="77777777" w:rsidR="00AB0525" w:rsidRPr="000A0C37" w:rsidRDefault="00AB0525" w:rsidP="000A0C37">
      <w:pPr>
        <w:ind w:right="141" w:firstLine="709"/>
        <w:contextualSpacing/>
        <w:jc w:val="both"/>
        <w:rPr>
          <w:rFonts w:ascii="Times New Roman" w:hAnsi="Times New Roman"/>
          <w:b/>
          <w:sz w:val="20"/>
          <w:szCs w:val="20"/>
          <w:lang w:val="en-GB"/>
        </w:rPr>
      </w:pPr>
      <w:proofErr w:type="spellStart"/>
      <w:r w:rsidRPr="000A0C37">
        <w:rPr>
          <w:rFonts w:ascii="Times New Roman" w:hAnsi="Times New Roman"/>
          <w:sz w:val="20"/>
          <w:szCs w:val="20"/>
          <w:lang w:val="en-GB"/>
        </w:rPr>
        <w:t>Courel</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B</w:t>
      </w:r>
      <w:r w:rsidRPr="000A0C37">
        <w:rPr>
          <w:rFonts w:ascii="Times New Roman" w:hAnsi="Times New Roman"/>
          <w:sz w:val="20"/>
          <w:szCs w:val="20"/>
          <w:lang w:val="ru-RU"/>
        </w:rPr>
        <w:t xml:space="preserve">., </w:t>
      </w:r>
      <w:r w:rsidRPr="000A0C37">
        <w:rPr>
          <w:rFonts w:ascii="Times New Roman" w:hAnsi="Times New Roman"/>
          <w:sz w:val="20"/>
          <w:szCs w:val="20"/>
          <w:lang w:val="en-GB"/>
        </w:rPr>
        <w:t>Robson</w:t>
      </w:r>
      <w:r w:rsidRPr="000A0C37">
        <w:rPr>
          <w:rFonts w:ascii="Times New Roman" w:hAnsi="Times New Roman"/>
          <w:sz w:val="20"/>
          <w:szCs w:val="20"/>
          <w:lang w:val="ru-RU"/>
        </w:rPr>
        <w:t xml:space="preserve">, </w:t>
      </w:r>
      <w:r w:rsidRPr="000A0C37">
        <w:rPr>
          <w:rFonts w:ascii="Times New Roman" w:hAnsi="Times New Roman"/>
          <w:sz w:val="20"/>
          <w:szCs w:val="20"/>
          <w:lang w:val="en-GB"/>
        </w:rPr>
        <w:t>H</w:t>
      </w:r>
      <w:r w:rsidRPr="000A0C37">
        <w:rPr>
          <w:rFonts w:ascii="Times New Roman" w:hAnsi="Times New Roman"/>
          <w:sz w:val="20"/>
          <w:szCs w:val="20"/>
          <w:lang w:val="ru-RU"/>
        </w:rPr>
        <w:t xml:space="preserve">. </w:t>
      </w:r>
      <w:r w:rsidRPr="000A0C37">
        <w:rPr>
          <w:rFonts w:ascii="Times New Roman" w:hAnsi="Times New Roman"/>
          <w:sz w:val="20"/>
          <w:szCs w:val="20"/>
          <w:lang w:val="en-GB"/>
        </w:rPr>
        <w:t>K</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Lucquin</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r w:rsidRPr="000A0C37">
        <w:rPr>
          <w:rFonts w:ascii="Times New Roman" w:hAnsi="Times New Roman"/>
          <w:sz w:val="20"/>
          <w:szCs w:val="20"/>
          <w:lang w:val="en-GB"/>
        </w:rPr>
        <w:t>Dolbunova</w:t>
      </w:r>
      <w:r w:rsidRPr="000A0C37">
        <w:rPr>
          <w:rFonts w:ascii="Times New Roman" w:hAnsi="Times New Roman"/>
          <w:sz w:val="20"/>
          <w:szCs w:val="20"/>
          <w:lang w:val="ru-RU"/>
        </w:rPr>
        <w:t xml:space="preserve">, </w:t>
      </w:r>
      <w:r w:rsidRPr="000A0C37">
        <w:rPr>
          <w:rFonts w:ascii="Times New Roman" w:hAnsi="Times New Roman"/>
          <w:sz w:val="20"/>
          <w:szCs w:val="20"/>
          <w:lang w:val="en-GB"/>
        </w:rPr>
        <w:t>E</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Oras</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E</w:t>
      </w:r>
      <w:r w:rsidRPr="000A0C37">
        <w:rPr>
          <w:rFonts w:ascii="Times New Roman" w:hAnsi="Times New Roman"/>
          <w:sz w:val="20"/>
          <w:szCs w:val="20"/>
          <w:lang w:val="ru-RU"/>
        </w:rPr>
        <w:t xml:space="preserve">., </w:t>
      </w:r>
      <w:r w:rsidRPr="000A0C37">
        <w:rPr>
          <w:rFonts w:ascii="Times New Roman" w:hAnsi="Times New Roman"/>
          <w:sz w:val="20"/>
          <w:szCs w:val="20"/>
          <w:lang w:val="en-GB"/>
        </w:rPr>
        <w:t>Adamczak</w:t>
      </w:r>
      <w:r w:rsidRPr="000A0C37">
        <w:rPr>
          <w:rFonts w:ascii="Times New Roman" w:hAnsi="Times New Roman"/>
          <w:sz w:val="20"/>
          <w:szCs w:val="20"/>
          <w:lang w:val="ru-RU"/>
        </w:rPr>
        <w:t xml:space="preserve">, </w:t>
      </w:r>
      <w:r w:rsidRPr="000A0C37">
        <w:rPr>
          <w:rFonts w:ascii="Times New Roman" w:hAnsi="Times New Roman"/>
          <w:sz w:val="20"/>
          <w:szCs w:val="20"/>
          <w:lang w:val="en-GB"/>
        </w:rPr>
        <w:t>K</w:t>
      </w:r>
      <w:r w:rsidRPr="000A0C37">
        <w:rPr>
          <w:rFonts w:ascii="Times New Roman" w:hAnsi="Times New Roman"/>
          <w:sz w:val="20"/>
          <w:szCs w:val="20"/>
          <w:lang w:val="ru-RU"/>
        </w:rPr>
        <w:t xml:space="preserve">., </w:t>
      </w:r>
      <w:r w:rsidRPr="000A0C37">
        <w:rPr>
          <w:rFonts w:ascii="Times New Roman" w:hAnsi="Times New Roman"/>
          <w:sz w:val="20"/>
          <w:szCs w:val="20"/>
          <w:lang w:val="en-GB"/>
        </w:rPr>
        <w:t>S</w:t>
      </w:r>
      <w:r w:rsidRPr="000A0C37">
        <w:rPr>
          <w:rFonts w:ascii="Times New Roman" w:hAnsi="Times New Roman"/>
          <w:sz w:val="20"/>
          <w:szCs w:val="20"/>
          <w:lang w:val="ru-RU"/>
        </w:rPr>
        <w:t>ø</w:t>
      </w:r>
      <w:r w:rsidRPr="000A0C37">
        <w:rPr>
          <w:rFonts w:ascii="Times New Roman" w:hAnsi="Times New Roman"/>
          <w:sz w:val="20"/>
          <w:szCs w:val="20"/>
          <w:lang w:val="en-GB"/>
        </w:rPr>
        <w:t>ren</w:t>
      </w:r>
      <w:r w:rsidRPr="000A0C37">
        <w:rPr>
          <w:rFonts w:ascii="Times New Roman" w:hAnsi="Times New Roman"/>
          <w:sz w:val="20"/>
          <w:szCs w:val="20"/>
          <w:lang w:val="ru-RU"/>
        </w:rPr>
        <w:t xml:space="preserve">, </w:t>
      </w:r>
      <w:r w:rsidRPr="000A0C37">
        <w:rPr>
          <w:rFonts w:ascii="Times New Roman" w:hAnsi="Times New Roman"/>
          <w:sz w:val="20"/>
          <w:szCs w:val="20"/>
          <w:lang w:val="en-GB"/>
        </w:rPr>
        <w:t>H</w:t>
      </w:r>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r w:rsidRPr="000A0C37">
        <w:rPr>
          <w:rFonts w:ascii="Times New Roman" w:hAnsi="Times New Roman"/>
          <w:sz w:val="20"/>
          <w:szCs w:val="20"/>
          <w:lang w:val="en-GB"/>
        </w:rPr>
        <w:t>Astrup</w:t>
      </w:r>
      <w:r w:rsidRPr="000A0C37">
        <w:rPr>
          <w:rFonts w:ascii="Times New Roman" w:hAnsi="Times New Roman"/>
          <w:sz w:val="20"/>
          <w:szCs w:val="20"/>
          <w:lang w:val="ru-RU"/>
        </w:rPr>
        <w:t xml:space="preserve">, </w:t>
      </w:r>
      <w:r w:rsidRPr="000A0C37">
        <w:rPr>
          <w:rFonts w:ascii="Times New Roman" w:hAnsi="Times New Roman"/>
          <w:sz w:val="20"/>
          <w:szCs w:val="20"/>
          <w:lang w:val="en-GB"/>
        </w:rPr>
        <w:t>P</w:t>
      </w:r>
      <w:r w:rsidRPr="000A0C37">
        <w:rPr>
          <w:rFonts w:ascii="Times New Roman" w:hAnsi="Times New Roman"/>
          <w:sz w:val="20"/>
          <w:szCs w:val="20"/>
          <w:lang w:val="ru-RU"/>
        </w:rPr>
        <w:t xml:space="preserve">. </w:t>
      </w:r>
      <w:r w:rsidRPr="000A0C37">
        <w:rPr>
          <w:rFonts w:ascii="Times New Roman" w:hAnsi="Times New Roman"/>
          <w:sz w:val="20"/>
          <w:szCs w:val="20"/>
          <w:lang w:val="en-GB"/>
        </w:rPr>
        <w:t>M</w:t>
      </w:r>
      <w:r w:rsidRPr="000A0C37">
        <w:rPr>
          <w:rFonts w:ascii="Times New Roman" w:hAnsi="Times New Roman"/>
          <w:sz w:val="20"/>
          <w:szCs w:val="20"/>
          <w:lang w:val="ru-RU"/>
        </w:rPr>
        <w:t xml:space="preserve">., </w:t>
      </w:r>
      <w:r w:rsidRPr="000A0C37">
        <w:rPr>
          <w:rFonts w:ascii="Times New Roman" w:hAnsi="Times New Roman"/>
          <w:sz w:val="20"/>
          <w:szCs w:val="20"/>
          <w:lang w:val="en-GB"/>
        </w:rPr>
        <w:t>Charniauski</w:t>
      </w:r>
      <w:r w:rsidRPr="000A0C37">
        <w:rPr>
          <w:rFonts w:ascii="Times New Roman" w:hAnsi="Times New Roman"/>
          <w:sz w:val="20"/>
          <w:szCs w:val="20"/>
          <w:lang w:val="ru-RU"/>
        </w:rPr>
        <w:t xml:space="preserve">, </w:t>
      </w:r>
      <w:r w:rsidRPr="000A0C37">
        <w:rPr>
          <w:rFonts w:ascii="Times New Roman" w:hAnsi="Times New Roman"/>
          <w:sz w:val="20"/>
          <w:szCs w:val="20"/>
          <w:lang w:val="en-GB"/>
        </w:rPr>
        <w:t>M</w:t>
      </w:r>
      <w:r w:rsidRPr="000A0C37">
        <w:rPr>
          <w:rFonts w:ascii="Times New Roman" w:hAnsi="Times New Roman"/>
          <w:sz w:val="20"/>
          <w:szCs w:val="20"/>
          <w:lang w:val="ru-RU"/>
        </w:rPr>
        <w:t xml:space="preserve">., </w:t>
      </w:r>
      <w:r w:rsidRPr="000A0C37">
        <w:rPr>
          <w:rFonts w:ascii="Times New Roman" w:hAnsi="Times New Roman"/>
          <w:sz w:val="20"/>
          <w:szCs w:val="20"/>
          <w:lang w:val="en-GB"/>
        </w:rPr>
        <w:t>Czekaj</w:t>
      </w:r>
      <w:r w:rsidRPr="000A0C37">
        <w:rPr>
          <w:rFonts w:ascii="Times New Roman" w:hAnsi="Times New Roman"/>
          <w:sz w:val="20"/>
          <w:szCs w:val="20"/>
          <w:lang w:val="ru-RU"/>
        </w:rPr>
        <w:t>-</w:t>
      </w:r>
      <w:r w:rsidRPr="000A0C37">
        <w:rPr>
          <w:rFonts w:ascii="Times New Roman" w:hAnsi="Times New Roman"/>
          <w:sz w:val="20"/>
          <w:szCs w:val="20"/>
          <w:lang w:val="en-GB"/>
        </w:rPr>
        <w:t>Zastawny</w:t>
      </w:r>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Ezepenko</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I</w:t>
      </w:r>
      <w:r w:rsidRPr="000A0C37">
        <w:rPr>
          <w:rFonts w:ascii="Times New Roman" w:hAnsi="Times New Roman"/>
          <w:sz w:val="20"/>
          <w:szCs w:val="20"/>
          <w:lang w:val="ru-RU"/>
        </w:rPr>
        <w:t xml:space="preserve">., </w:t>
      </w:r>
      <w:r w:rsidRPr="000A0C37">
        <w:rPr>
          <w:rFonts w:ascii="Times New Roman" w:hAnsi="Times New Roman"/>
          <w:sz w:val="20"/>
          <w:szCs w:val="20"/>
          <w:lang w:val="en-GB"/>
        </w:rPr>
        <w:t>Hartz</w:t>
      </w:r>
      <w:r w:rsidRPr="000A0C37">
        <w:rPr>
          <w:rFonts w:ascii="Times New Roman" w:hAnsi="Times New Roman"/>
          <w:sz w:val="20"/>
          <w:szCs w:val="20"/>
          <w:lang w:val="ru-RU"/>
        </w:rPr>
        <w:t xml:space="preserve">, </w:t>
      </w:r>
      <w:r w:rsidRPr="000A0C37">
        <w:rPr>
          <w:rFonts w:ascii="Times New Roman" w:hAnsi="Times New Roman"/>
          <w:sz w:val="20"/>
          <w:szCs w:val="20"/>
          <w:lang w:val="en-GB"/>
        </w:rPr>
        <w:t>S</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Kabaci</w:t>
      </w:r>
      <w:proofErr w:type="spellEnd"/>
      <w:r w:rsidRPr="000A0C37">
        <w:rPr>
          <w:rFonts w:ascii="Times New Roman" w:hAnsi="Times New Roman"/>
          <w:sz w:val="20"/>
          <w:szCs w:val="20"/>
          <w:lang w:val="ru-RU"/>
        </w:rPr>
        <w:t>ń</w:t>
      </w:r>
      <w:r w:rsidRPr="000A0C37">
        <w:rPr>
          <w:rFonts w:ascii="Times New Roman" w:hAnsi="Times New Roman"/>
          <w:sz w:val="20"/>
          <w:szCs w:val="20"/>
          <w:lang w:val="en-GB"/>
        </w:rPr>
        <w:t>ski</w:t>
      </w:r>
      <w:r w:rsidRPr="000A0C37">
        <w:rPr>
          <w:rFonts w:ascii="Times New Roman" w:hAnsi="Times New Roman"/>
          <w:sz w:val="20"/>
          <w:szCs w:val="20"/>
          <w:lang w:val="ru-RU"/>
        </w:rPr>
        <w:t xml:space="preserve">, </w:t>
      </w:r>
      <w:r w:rsidRPr="000A0C37">
        <w:rPr>
          <w:rFonts w:ascii="Times New Roman" w:hAnsi="Times New Roman"/>
          <w:sz w:val="20"/>
          <w:szCs w:val="20"/>
          <w:lang w:val="en-GB"/>
        </w:rPr>
        <w:t>J</w:t>
      </w:r>
      <w:r w:rsidRPr="000A0C37">
        <w:rPr>
          <w:rFonts w:ascii="Times New Roman" w:hAnsi="Times New Roman"/>
          <w:sz w:val="20"/>
          <w:szCs w:val="20"/>
          <w:lang w:val="ru-RU"/>
        </w:rPr>
        <w:t xml:space="preserve">., </w:t>
      </w:r>
      <w:r w:rsidRPr="000A0C37">
        <w:rPr>
          <w:rFonts w:ascii="Times New Roman" w:hAnsi="Times New Roman"/>
          <w:sz w:val="20"/>
          <w:szCs w:val="20"/>
          <w:lang w:val="en-GB"/>
        </w:rPr>
        <w:t>Kotula</w:t>
      </w:r>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Kukawka</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S</w:t>
      </w:r>
      <w:r w:rsidRPr="000A0C37">
        <w:rPr>
          <w:rFonts w:ascii="Times New Roman" w:hAnsi="Times New Roman"/>
          <w:sz w:val="20"/>
          <w:szCs w:val="20"/>
          <w:lang w:val="ru-RU"/>
        </w:rPr>
        <w:t xml:space="preserve">., </w:t>
      </w:r>
      <w:r w:rsidRPr="000A0C37">
        <w:rPr>
          <w:rFonts w:ascii="Times New Roman" w:hAnsi="Times New Roman"/>
          <w:sz w:val="20"/>
          <w:szCs w:val="20"/>
          <w:lang w:val="en-GB"/>
        </w:rPr>
        <w:t>Loze</w:t>
      </w:r>
      <w:r w:rsidRPr="000A0C37">
        <w:rPr>
          <w:rFonts w:ascii="Times New Roman" w:hAnsi="Times New Roman"/>
          <w:sz w:val="20"/>
          <w:szCs w:val="20"/>
          <w:lang w:val="ru-RU"/>
        </w:rPr>
        <w:t xml:space="preserve">, </w:t>
      </w:r>
      <w:r w:rsidRPr="000A0C37">
        <w:rPr>
          <w:rFonts w:ascii="Times New Roman" w:hAnsi="Times New Roman"/>
          <w:sz w:val="20"/>
          <w:szCs w:val="20"/>
          <w:lang w:val="en-GB"/>
        </w:rPr>
        <w:lastRenderedPageBreak/>
        <w:t>I</w:t>
      </w:r>
      <w:r w:rsidRPr="000A0C37">
        <w:rPr>
          <w:rFonts w:ascii="Times New Roman" w:hAnsi="Times New Roman"/>
          <w:sz w:val="20"/>
          <w:szCs w:val="20"/>
          <w:lang w:val="ru-RU"/>
        </w:rPr>
        <w:t xml:space="preserve">., </w:t>
      </w:r>
      <w:r w:rsidRPr="000A0C37">
        <w:rPr>
          <w:rFonts w:ascii="Times New Roman" w:hAnsi="Times New Roman"/>
          <w:sz w:val="20"/>
          <w:szCs w:val="20"/>
          <w:lang w:val="en-GB"/>
        </w:rPr>
        <w:t>Mazurkevich</w:t>
      </w:r>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Piezonka</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H</w:t>
      </w:r>
      <w:r w:rsidRPr="000A0C37">
        <w:rPr>
          <w:rFonts w:ascii="Times New Roman" w:hAnsi="Times New Roman"/>
          <w:sz w:val="20"/>
          <w:szCs w:val="20"/>
          <w:lang w:val="ru-RU"/>
        </w:rPr>
        <w:t xml:space="preserve">., </w:t>
      </w:r>
      <w:r w:rsidRPr="000A0C37">
        <w:rPr>
          <w:rFonts w:ascii="Times New Roman" w:hAnsi="Times New Roman"/>
          <w:sz w:val="20"/>
          <w:szCs w:val="20"/>
          <w:lang w:val="en-GB"/>
        </w:rPr>
        <w:t>Pili</w:t>
      </w:r>
      <w:r w:rsidRPr="000A0C37">
        <w:rPr>
          <w:rFonts w:ascii="Times New Roman" w:hAnsi="Times New Roman"/>
          <w:sz w:val="20"/>
          <w:szCs w:val="20"/>
          <w:lang w:val="ru-RU"/>
        </w:rPr>
        <w:t>č</w:t>
      </w:r>
      <w:proofErr w:type="spellStart"/>
      <w:r w:rsidRPr="000A0C37">
        <w:rPr>
          <w:rFonts w:ascii="Times New Roman" w:hAnsi="Times New Roman"/>
          <w:sz w:val="20"/>
          <w:szCs w:val="20"/>
          <w:lang w:val="en-GB"/>
        </w:rPr>
        <w:t>iauskas</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G</w:t>
      </w:r>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r w:rsidRPr="000A0C37">
        <w:rPr>
          <w:rFonts w:ascii="Times New Roman" w:hAnsi="Times New Roman"/>
          <w:sz w:val="20"/>
          <w:szCs w:val="20"/>
          <w:lang w:val="en-GB"/>
        </w:rPr>
        <w:t>S</w:t>
      </w:r>
      <w:r w:rsidRPr="000A0C37">
        <w:rPr>
          <w:rFonts w:ascii="Times New Roman" w:hAnsi="Times New Roman"/>
          <w:sz w:val="20"/>
          <w:szCs w:val="20"/>
          <w:lang w:val="ru-RU"/>
        </w:rPr>
        <w:t>ø</w:t>
      </w:r>
      <w:proofErr w:type="spellStart"/>
      <w:r w:rsidRPr="000A0C37">
        <w:rPr>
          <w:rFonts w:ascii="Times New Roman" w:hAnsi="Times New Roman"/>
          <w:sz w:val="20"/>
          <w:szCs w:val="20"/>
          <w:lang w:val="en-GB"/>
        </w:rPr>
        <w:t>rensen</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S</w:t>
      </w:r>
      <w:r w:rsidRPr="000A0C37">
        <w:rPr>
          <w:rFonts w:ascii="Times New Roman" w:hAnsi="Times New Roman"/>
          <w:sz w:val="20"/>
          <w:szCs w:val="20"/>
          <w:lang w:val="ru-RU"/>
        </w:rPr>
        <w:t xml:space="preserve">., </w:t>
      </w:r>
      <w:r w:rsidRPr="000A0C37">
        <w:rPr>
          <w:rFonts w:ascii="Times New Roman" w:hAnsi="Times New Roman"/>
          <w:sz w:val="20"/>
          <w:szCs w:val="20"/>
          <w:lang w:val="en-GB"/>
        </w:rPr>
        <w:t>Talbot</w:t>
      </w:r>
      <w:r w:rsidRPr="000A0C37">
        <w:rPr>
          <w:rFonts w:ascii="Times New Roman" w:hAnsi="Times New Roman"/>
          <w:sz w:val="20"/>
          <w:szCs w:val="20"/>
          <w:lang w:val="ru-RU"/>
        </w:rPr>
        <w:t xml:space="preserve">, </w:t>
      </w:r>
      <w:r w:rsidRPr="000A0C37">
        <w:rPr>
          <w:rFonts w:ascii="Times New Roman" w:hAnsi="Times New Roman"/>
          <w:sz w:val="20"/>
          <w:szCs w:val="20"/>
          <w:lang w:val="en-GB"/>
        </w:rPr>
        <w:t>H</w:t>
      </w:r>
      <w:r w:rsidRPr="000A0C37">
        <w:rPr>
          <w:rFonts w:ascii="Times New Roman" w:hAnsi="Times New Roman"/>
          <w:sz w:val="20"/>
          <w:szCs w:val="20"/>
          <w:lang w:val="ru-RU"/>
        </w:rPr>
        <w:t xml:space="preserve">. </w:t>
      </w:r>
      <w:r w:rsidRPr="000A0C37">
        <w:rPr>
          <w:rFonts w:ascii="Times New Roman" w:hAnsi="Times New Roman"/>
          <w:sz w:val="20"/>
          <w:szCs w:val="20"/>
          <w:lang w:val="en-GB"/>
        </w:rPr>
        <w:t>M</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Tkachou</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Tkachova</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M</w:t>
      </w:r>
      <w:r w:rsidRPr="000A0C37">
        <w:rPr>
          <w:rFonts w:ascii="Times New Roman" w:hAnsi="Times New Roman"/>
          <w:sz w:val="20"/>
          <w:szCs w:val="20"/>
          <w:lang w:val="ru-RU"/>
        </w:rPr>
        <w:t xml:space="preserve">., </w:t>
      </w:r>
      <w:proofErr w:type="spellStart"/>
      <w:r w:rsidRPr="000A0C37">
        <w:rPr>
          <w:rFonts w:ascii="Times New Roman" w:hAnsi="Times New Roman"/>
          <w:sz w:val="20"/>
          <w:szCs w:val="20"/>
          <w:lang w:val="en-GB"/>
        </w:rPr>
        <w:t>Wawrusiewicz</w:t>
      </w:r>
      <w:proofErr w:type="spellEnd"/>
      <w:r w:rsidRPr="000A0C37">
        <w:rPr>
          <w:rFonts w:ascii="Times New Roman" w:hAnsi="Times New Roman"/>
          <w:sz w:val="20"/>
          <w:szCs w:val="20"/>
          <w:lang w:val="ru-RU"/>
        </w:rPr>
        <w:t xml:space="preserve">, </w:t>
      </w:r>
      <w:r w:rsidRPr="000A0C37">
        <w:rPr>
          <w:rFonts w:ascii="Times New Roman" w:hAnsi="Times New Roman"/>
          <w:sz w:val="20"/>
          <w:szCs w:val="20"/>
          <w:lang w:val="en-GB"/>
        </w:rPr>
        <w:t>A</w:t>
      </w:r>
      <w:r w:rsidRPr="000A0C37">
        <w:rPr>
          <w:rFonts w:ascii="Times New Roman" w:hAnsi="Times New Roman"/>
          <w:sz w:val="20"/>
          <w:szCs w:val="20"/>
          <w:lang w:val="ru-RU"/>
        </w:rPr>
        <w:t xml:space="preserve">., </w:t>
      </w:r>
      <w:r w:rsidRPr="000A0C37">
        <w:rPr>
          <w:rFonts w:ascii="Times New Roman" w:hAnsi="Times New Roman"/>
          <w:sz w:val="20"/>
          <w:szCs w:val="20"/>
          <w:lang w:val="en-GB"/>
        </w:rPr>
        <w:t>Meadows</w:t>
      </w:r>
      <w:r w:rsidRPr="000A0C37">
        <w:rPr>
          <w:rFonts w:ascii="Times New Roman" w:hAnsi="Times New Roman"/>
          <w:sz w:val="20"/>
          <w:szCs w:val="20"/>
          <w:lang w:val="ru-RU"/>
        </w:rPr>
        <w:t xml:space="preserve">, </w:t>
      </w:r>
      <w:r w:rsidRPr="000A0C37">
        <w:rPr>
          <w:rFonts w:ascii="Times New Roman" w:hAnsi="Times New Roman"/>
          <w:sz w:val="20"/>
          <w:szCs w:val="20"/>
          <w:lang w:val="en-GB"/>
        </w:rPr>
        <w:t>J</w:t>
      </w:r>
      <w:r w:rsidRPr="000A0C37">
        <w:rPr>
          <w:rFonts w:ascii="Times New Roman" w:hAnsi="Times New Roman"/>
          <w:sz w:val="20"/>
          <w:szCs w:val="20"/>
          <w:lang w:val="ru-RU"/>
        </w:rPr>
        <w:t xml:space="preserve">., </w:t>
      </w:r>
      <w:r w:rsidRPr="000A0C37">
        <w:rPr>
          <w:rFonts w:ascii="Times New Roman" w:hAnsi="Times New Roman"/>
          <w:sz w:val="20"/>
          <w:szCs w:val="20"/>
          <w:lang w:val="en-GB"/>
        </w:rPr>
        <w:t>Heron</w:t>
      </w:r>
      <w:r w:rsidRPr="000A0C37">
        <w:rPr>
          <w:rFonts w:ascii="Times New Roman" w:hAnsi="Times New Roman"/>
          <w:sz w:val="20"/>
          <w:szCs w:val="20"/>
          <w:lang w:val="ru-RU"/>
        </w:rPr>
        <w:t xml:space="preserve">, </w:t>
      </w:r>
      <w:r w:rsidRPr="000A0C37">
        <w:rPr>
          <w:rFonts w:ascii="Times New Roman" w:hAnsi="Times New Roman"/>
          <w:sz w:val="20"/>
          <w:szCs w:val="20"/>
          <w:lang w:val="en-GB"/>
        </w:rPr>
        <w:t>C</w:t>
      </w:r>
      <w:r w:rsidRPr="000A0C37">
        <w:rPr>
          <w:rFonts w:ascii="Times New Roman" w:hAnsi="Times New Roman"/>
          <w:sz w:val="20"/>
          <w:szCs w:val="20"/>
          <w:lang w:val="ru-RU"/>
        </w:rPr>
        <w:t xml:space="preserve">. </w:t>
      </w:r>
      <w:r w:rsidRPr="000A0C37">
        <w:rPr>
          <w:rFonts w:ascii="Times New Roman" w:hAnsi="Times New Roman"/>
          <w:sz w:val="20"/>
          <w:szCs w:val="20"/>
          <w:lang w:val="en-GB"/>
        </w:rPr>
        <w:t>P</w:t>
      </w:r>
      <w:r w:rsidRPr="000A0C37">
        <w:rPr>
          <w:rFonts w:ascii="Times New Roman" w:hAnsi="Times New Roman"/>
          <w:sz w:val="20"/>
          <w:szCs w:val="20"/>
          <w:lang w:val="ru-RU"/>
        </w:rPr>
        <w:t xml:space="preserve">. </w:t>
      </w:r>
      <w:r w:rsidRPr="000A0C37">
        <w:rPr>
          <w:rFonts w:ascii="Times New Roman" w:hAnsi="Times New Roman"/>
          <w:sz w:val="20"/>
          <w:szCs w:val="20"/>
          <w:lang w:val="en-GB"/>
        </w:rPr>
        <w:t>and</w:t>
      </w:r>
      <w:r w:rsidRPr="000A0C37">
        <w:rPr>
          <w:rFonts w:ascii="Times New Roman" w:hAnsi="Times New Roman"/>
          <w:sz w:val="20"/>
          <w:szCs w:val="20"/>
          <w:lang w:val="ru-RU"/>
        </w:rPr>
        <w:t xml:space="preserve"> </w:t>
      </w:r>
      <w:r w:rsidRPr="000A0C37">
        <w:rPr>
          <w:rFonts w:ascii="Times New Roman" w:hAnsi="Times New Roman"/>
          <w:sz w:val="20"/>
          <w:szCs w:val="20"/>
          <w:lang w:val="en-GB"/>
        </w:rPr>
        <w:t>Craig</w:t>
      </w:r>
      <w:r w:rsidRPr="000A0C37">
        <w:rPr>
          <w:rFonts w:ascii="Times New Roman" w:hAnsi="Times New Roman"/>
          <w:sz w:val="20"/>
          <w:szCs w:val="20"/>
          <w:lang w:val="ru-RU"/>
        </w:rPr>
        <w:t xml:space="preserve">, </w:t>
      </w:r>
      <w:r w:rsidRPr="000A0C37">
        <w:rPr>
          <w:rFonts w:ascii="Times New Roman" w:hAnsi="Times New Roman"/>
          <w:sz w:val="20"/>
          <w:szCs w:val="20"/>
          <w:lang w:val="en-GB"/>
        </w:rPr>
        <w:t>O</w:t>
      </w:r>
      <w:r w:rsidRPr="000A0C37">
        <w:rPr>
          <w:rFonts w:ascii="Times New Roman" w:hAnsi="Times New Roman"/>
          <w:sz w:val="20"/>
          <w:szCs w:val="20"/>
          <w:lang w:val="ru-RU"/>
        </w:rPr>
        <w:t xml:space="preserve">. </w:t>
      </w:r>
      <w:r w:rsidRPr="000A0C37">
        <w:rPr>
          <w:rFonts w:ascii="Times New Roman" w:hAnsi="Times New Roman"/>
          <w:sz w:val="20"/>
          <w:szCs w:val="20"/>
          <w:lang w:val="en-GB"/>
        </w:rPr>
        <w:t>E</w:t>
      </w:r>
      <w:r w:rsidRPr="000A0C37">
        <w:rPr>
          <w:rFonts w:ascii="Times New Roman" w:hAnsi="Times New Roman"/>
          <w:sz w:val="20"/>
          <w:szCs w:val="20"/>
          <w:lang w:val="ru-RU"/>
        </w:rPr>
        <w:t xml:space="preserve">. 2020. </w:t>
      </w:r>
      <w:r w:rsidRPr="000A0C37">
        <w:rPr>
          <w:rFonts w:ascii="Times New Roman" w:hAnsi="Times New Roman"/>
          <w:sz w:val="20"/>
          <w:szCs w:val="20"/>
          <w:lang w:val="en-GB"/>
        </w:rPr>
        <w:t xml:space="preserve">Organic residue analysis shows sub-regional patterns in the use of pottery by Northern European hunter–gatherers. Royal society open science Volume </w:t>
      </w:r>
      <w:r w:rsidRPr="000A0C37">
        <w:rPr>
          <w:rFonts w:ascii="Times New Roman" w:hAnsi="Times New Roman"/>
          <w:iCs/>
          <w:sz w:val="20"/>
          <w:szCs w:val="20"/>
          <w:lang w:val="en-GB"/>
        </w:rPr>
        <w:t>7 (4):</w:t>
      </w:r>
      <w:r w:rsidRPr="000A0C37">
        <w:rPr>
          <w:rFonts w:ascii="Times New Roman" w:hAnsi="Times New Roman"/>
          <w:sz w:val="20"/>
          <w:szCs w:val="20"/>
          <w:lang w:val="en-GB"/>
        </w:rPr>
        <w:t xml:space="preserve"> </w:t>
      </w:r>
      <w:r w:rsidRPr="000A0C37">
        <w:rPr>
          <w:rFonts w:ascii="Times New Roman" w:hAnsi="Times New Roman"/>
          <w:sz w:val="20"/>
          <w:szCs w:val="20"/>
        </w:rPr>
        <w:t>192016.</w:t>
      </w:r>
      <w:r w:rsidRPr="000A0C37">
        <w:rPr>
          <w:rFonts w:ascii="Times New Roman" w:hAnsi="Times New Roman"/>
          <w:b/>
          <w:sz w:val="20"/>
          <w:szCs w:val="20"/>
          <w:lang w:val="en-GB"/>
        </w:rPr>
        <w:t xml:space="preserve"> </w:t>
      </w:r>
    </w:p>
    <w:p w14:paraId="366FA737" w14:textId="77777777" w:rsidR="00AB0525" w:rsidRPr="000A0C37" w:rsidRDefault="00AB0525" w:rsidP="000A0C37">
      <w:pPr>
        <w:autoSpaceDE w:val="0"/>
        <w:autoSpaceDN w:val="0"/>
        <w:adjustRightInd w:val="0"/>
        <w:ind w:firstLine="708"/>
        <w:contextualSpacing/>
        <w:jc w:val="both"/>
        <w:rPr>
          <w:rFonts w:ascii="Times New Roman" w:hAnsi="Times New Roman"/>
          <w:sz w:val="20"/>
          <w:szCs w:val="20"/>
          <w:shd w:val="clear" w:color="auto" w:fill="FFFFFF"/>
        </w:rPr>
      </w:pPr>
      <w:proofErr w:type="spellStart"/>
      <w:r w:rsidRPr="000A0C37">
        <w:rPr>
          <w:rFonts w:ascii="Times New Roman" w:hAnsi="Times New Roman"/>
          <w:sz w:val="20"/>
          <w:szCs w:val="20"/>
          <w:shd w:val="clear" w:color="auto" w:fill="FFFFFF"/>
        </w:rPr>
        <w:t>Courel</w:t>
      </w:r>
      <w:proofErr w:type="spellEnd"/>
      <w:r w:rsidRPr="000A0C37">
        <w:rPr>
          <w:rFonts w:ascii="Times New Roman" w:hAnsi="Times New Roman"/>
          <w:sz w:val="20"/>
          <w:szCs w:val="20"/>
          <w:shd w:val="clear" w:color="auto" w:fill="FFFFFF"/>
        </w:rPr>
        <w:t xml:space="preserve"> B., Meadows J., </w:t>
      </w:r>
      <w:proofErr w:type="spellStart"/>
      <w:r w:rsidRPr="000A0C37">
        <w:rPr>
          <w:rFonts w:ascii="Times New Roman" w:hAnsi="Times New Roman"/>
          <w:sz w:val="20"/>
          <w:szCs w:val="20"/>
          <w:shd w:val="clear" w:color="auto" w:fill="FFFFFF"/>
        </w:rPr>
        <w:t>Lucquin</w:t>
      </w:r>
      <w:proofErr w:type="spellEnd"/>
      <w:r w:rsidRPr="000A0C37">
        <w:rPr>
          <w:rFonts w:ascii="Times New Roman" w:hAnsi="Times New Roman"/>
          <w:sz w:val="20"/>
          <w:szCs w:val="20"/>
          <w:shd w:val="clear" w:color="auto" w:fill="FFFFFF"/>
        </w:rPr>
        <w:t xml:space="preserve"> A., Gonzalez Carretero L., McLaughlin R., </w:t>
      </w:r>
      <w:proofErr w:type="spellStart"/>
      <w:r w:rsidRPr="000A0C37">
        <w:rPr>
          <w:rFonts w:ascii="Times New Roman" w:hAnsi="Times New Roman"/>
          <w:sz w:val="20"/>
          <w:szCs w:val="20"/>
          <w:shd w:val="clear" w:color="auto" w:fill="FFFFFF"/>
        </w:rPr>
        <w:t>Bondetti</w:t>
      </w:r>
      <w:proofErr w:type="spellEnd"/>
      <w:r w:rsidRPr="000A0C37">
        <w:rPr>
          <w:rFonts w:ascii="Times New Roman" w:hAnsi="Times New Roman"/>
          <w:sz w:val="20"/>
          <w:szCs w:val="20"/>
          <w:shd w:val="clear" w:color="auto" w:fill="FFFFFF"/>
        </w:rPr>
        <w:t xml:space="preserve"> M.,   Andreev K., Skorobogatov A., </w:t>
      </w:r>
      <w:proofErr w:type="spellStart"/>
      <w:r w:rsidRPr="000A0C37">
        <w:rPr>
          <w:rFonts w:ascii="Times New Roman" w:hAnsi="Times New Roman"/>
          <w:sz w:val="20"/>
          <w:szCs w:val="20"/>
          <w:shd w:val="clear" w:color="auto" w:fill="FFFFFF"/>
        </w:rPr>
        <w:t>Smolianinov</w:t>
      </w:r>
      <w:proofErr w:type="spellEnd"/>
      <w:r w:rsidRPr="000A0C37">
        <w:rPr>
          <w:rFonts w:ascii="Times New Roman" w:hAnsi="Times New Roman"/>
          <w:sz w:val="20"/>
          <w:szCs w:val="20"/>
          <w:shd w:val="clear" w:color="auto" w:fill="FFFFFF"/>
        </w:rPr>
        <w:t xml:space="preserve"> R., Surkov A., </w:t>
      </w:r>
      <w:proofErr w:type="spellStart"/>
      <w:r w:rsidRPr="000A0C37">
        <w:rPr>
          <w:rFonts w:ascii="Times New Roman" w:hAnsi="Times New Roman"/>
          <w:sz w:val="20"/>
          <w:szCs w:val="20"/>
          <w:shd w:val="clear" w:color="auto" w:fill="FFFFFF"/>
        </w:rPr>
        <w:t>Vybornov</w:t>
      </w:r>
      <w:proofErr w:type="spellEnd"/>
      <w:r w:rsidRPr="000A0C37">
        <w:rPr>
          <w:rFonts w:ascii="Times New Roman" w:hAnsi="Times New Roman"/>
          <w:sz w:val="20"/>
          <w:szCs w:val="20"/>
          <w:shd w:val="clear" w:color="auto" w:fill="FFFFFF"/>
        </w:rPr>
        <w:t xml:space="preserve"> A., Dolbunova E., Craig O.,  Heron C. 2021. The use of early pottery by hunter-gatherers of the Eastern European forest-steppe. Quaternary Science </w:t>
      </w:r>
      <w:r w:rsidRPr="000A0C37">
        <w:rPr>
          <w:rFonts w:ascii="Times New Roman" w:hAnsi="Times New Roman"/>
          <w:sz w:val="20"/>
          <w:szCs w:val="20"/>
        </w:rPr>
        <w:t>Reviews 269: 107–</w:t>
      </w:r>
      <w:r w:rsidRPr="000A0C37">
        <w:rPr>
          <w:rFonts w:ascii="Times New Roman" w:hAnsi="Times New Roman"/>
          <w:sz w:val="20"/>
          <w:szCs w:val="20"/>
          <w:shd w:val="clear" w:color="auto" w:fill="FFFFFF"/>
        </w:rPr>
        <w:t>143.</w:t>
      </w:r>
    </w:p>
    <w:p w14:paraId="3F17D5A4" w14:textId="77777777" w:rsidR="00F744D9" w:rsidRPr="000A0C37" w:rsidRDefault="00F744D9" w:rsidP="000A0C37">
      <w:pPr>
        <w:pStyle w:val="Akapitzlist"/>
        <w:ind w:left="0"/>
        <w:jc w:val="both"/>
        <w:rPr>
          <w:bCs/>
          <w:i/>
          <w:lang w:val="en-GB"/>
        </w:rPr>
      </w:pPr>
      <w:r w:rsidRPr="000A0C37">
        <w:rPr>
          <w:lang w:val="en-GB"/>
        </w:rPr>
        <w:t xml:space="preserve">             Piotr Kittel, Andrey Mazurkevich, Alexander Alexandrovskiy, Ekaterina Dolbunova, Mateusz Krupski, Jacek Szmańda, Renata Stachowicz-Rybka, Katarzyna Cywa, Agnieszka Mroczkowska, Daniel Okupny. </w:t>
      </w:r>
      <w:r w:rsidRPr="000A0C37">
        <w:rPr>
          <w:bCs/>
          <w:lang w:val="en-GB"/>
        </w:rPr>
        <w:t xml:space="preserve">2020. Lacustrine, fluvial and slope deposits in the wetland shore area in </w:t>
      </w:r>
      <w:proofErr w:type="spellStart"/>
      <w:r w:rsidRPr="000A0C37">
        <w:rPr>
          <w:bCs/>
          <w:lang w:val="en-GB"/>
        </w:rPr>
        <w:t>Serteya</w:t>
      </w:r>
      <w:proofErr w:type="spellEnd"/>
      <w:r w:rsidRPr="000A0C37">
        <w:rPr>
          <w:bCs/>
          <w:lang w:val="en-GB"/>
        </w:rPr>
        <w:t xml:space="preserve">, Western Russia. </w:t>
      </w:r>
      <w:r w:rsidRPr="000A0C37">
        <w:rPr>
          <w:bCs/>
          <w:i/>
          <w:lang w:val="en-GB"/>
        </w:rPr>
        <w:t xml:space="preserve">Acta </w:t>
      </w:r>
      <w:proofErr w:type="spellStart"/>
      <w:r w:rsidRPr="000A0C37">
        <w:rPr>
          <w:bCs/>
          <w:i/>
          <w:lang w:val="en-GB"/>
        </w:rPr>
        <w:t>Geographica</w:t>
      </w:r>
      <w:proofErr w:type="spellEnd"/>
      <w:r w:rsidRPr="000A0C37">
        <w:rPr>
          <w:bCs/>
          <w:i/>
          <w:lang w:val="en-GB"/>
        </w:rPr>
        <w:t xml:space="preserve"> </w:t>
      </w:r>
      <w:proofErr w:type="spellStart"/>
      <w:r w:rsidRPr="000A0C37">
        <w:rPr>
          <w:bCs/>
          <w:i/>
          <w:lang w:val="en-GB"/>
        </w:rPr>
        <w:t>Lodziensia</w:t>
      </w:r>
      <w:proofErr w:type="spellEnd"/>
      <w:r w:rsidRPr="000A0C37">
        <w:rPr>
          <w:bCs/>
          <w:i/>
          <w:lang w:val="en-GB"/>
        </w:rPr>
        <w:t xml:space="preserve"> 110. P.103-124.</w:t>
      </w:r>
    </w:p>
    <w:p w14:paraId="106BD982" w14:textId="1B5F9255" w:rsidR="00F744D9" w:rsidRPr="000A0C37" w:rsidRDefault="00F744D9" w:rsidP="000A0C37">
      <w:pPr>
        <w:pStyle w:val="Akapitzlist"/>
        <w:ind w:left="0"/>
        <w:jc w:val="both"/>
        <w:rPr>
          <w:bCs/>
          <w:lang w:val="en-US"/>
        </w:rPr>
      </w:pPr>
      <w:r w:rsidRPr="000A0C37">
        <w:rPr>
          <w:lang w:val="en-GB"/>
        </w:rPr>
        <w:t xml:space="preserve">          Kittel P., Mazurkevich A., Wieckowska-Lüth M., Pawłowski D., Dolbunova E., Gauthier E., Krąpiec M., Maigrot Y., Danger M., Mroczkowska A., Okupny D., Płóciennik M., Szmańda J., Thiebaut E., Słowiński M. 2020. </w:t>
      </w:r>
      <w:r w:rsidRPr="000A0C37">
        <w:rPr>
          <w:lang w:val="en-US"/>
        </w:rPr>
        <w:t xml:space="preserve">On the border between land and water: the environmental conditions of the Neolithic occupation from 4.3 until 1.6 ka BC at </w:t>
      </w:r>
      <w:proofErr w:type="spellStart"/>
      <w:r w:rsidRPr="000A0C37">
        <w:rPr>
          <w:lang w:val="en-US"/>
        </w:rPr>
        <w:t>Serteya</w:t>
      </w:r>
      <w:proofErr w:type="spellEnd"/>
      <w:r w:rsidRPr="000A0C37">
        <w:rPr>
          <w:lang w:val="en-US"/>
        </w:rPr>
        <w:t xml:space="preserve">, Western Russia. </w:t>
      </w:r>
      <w:r w:rsidRPr="000A0C37">
        <w:rPr>
          <w:bCs/>
          <w:i/>
          <w:lang w:val="en-US"/>
        </w:rPr>
        <w:t>Geoarchaeology an International Journal</w:t>
      </w:r>
      <w:r w:rsidRPr="000A0C37">
        <w:rPr>
          <w:bCs/>
          <w:lang w:val="en-US"/>
        </w:rPr>
        <w:t>. 2020</w:t>
      </w:r>
      <w:r w:rsidR="005D5B88" w:rsidRPr="000A0C37">
        <w:rPr>
          <w:bCs/>
          <w:lang w:val="en-US"/>
        </w:rPr>
        <w:t>a</w:t>
      </w:r>
      <w:r w:rsidRPr="000A0C37">
        <w:rPr>
          <w:bCs/>
          <w:lang w:val="en-US"/>
        </w:rPr>
        <w:t>. P. 1-30.</w:t>
      </w:r>
    </w:p>
    <w:p w14:paraId="56157C67" w14:textId="73D267AE" w:rsidR="00AB0525" w:rsidRPr="000A0C37" w:rsidRDefault="00AB0525" w:rsidP="000A0C37">
      <w:pPr>
        <w:widowControl w:val="0"/>
        <w:autoSpaceDE w:val="0"/>
        <w:autoSpaceDN w:val="0"/>
        <w:adjustRightInd w:val="0"/>
        <w:ind w:firstLine="709"/>
        <w:contextualSpacing/>
        <w:jc w:val="both"/>
        <w:rPr>
          <w:rFonts w:ascii="Times New Roman" w:hAnsi="Times New Roman"/>
          <w:sz w:val="20"/>
          <w:szCs w:val="20"/>
        </w:rPr>
      </w:pPr>
      <w:proofErr w:type="spellStart"/>
      <w:r w:rsidRPr="000A0C37">
        <w:rPr>
          <w:rFonts w:ascii="Times New Roman" w:hAnsi="Times New Roman"/>
          <w:sz w:val="20"/>
          <w:szCs w:val="20"/>
        </w:rPr>
        <w:t>Kriiska</w:t>
      </w:r>
      <w:proofErr w:type="spellEnd"/>
      <w:r w:rsidRPr="000A0C37">
        <w:rPr>
          <w:rFonts w:ascii="Times New Roman" w:hAnsi="Times New Roman"/>
          <w:sz w:val="20"/>
          <w:szCs w:val="20"/>
        </w:rPr>
        <w:t xml:space="preserve"> A., </w:t>
      </w:r>
      <w:proofErr w:type="spellStart"/>
      <w:r w:rsidRPr="000A0C37">
        <w:rPr>
          <w:rFonts w:ascii="Times New Roman" w:hAnsi="Times New Roman"/>
          <w:sz w:val="20"/>
          <w:szCs w:val="20"/>
        </w:rPr>
        <w:t>Oras</w:t>
      </w:r>
      <w:proofErr w:type="spellEnd"/>
      <w:r w:rsidRPr="000A0C37">
        <w:rPr>
          <w:rFonts w:ascii="Times New Roman" w:hAnsi="Times New Roman"/>
          <w:sz w:val="20"/>
          <w:szCs w:val="20"/>
        </w:rPr>
        <w:t xml:space="preserve"> E., </w:t>
      </w:r>
      <w:proofErr w:type="spellStart"/>
      <w:r w:rsidRPr="000A0C37">
        <w:rPr>
          <w:rFonts w:ascii="Times New Roman" w:hAnsi="Times New Roman"/>
          <w:sz w:val="20"/>
          <w:szCs w:val="20"/>
        </w:rPr>
        <w:t>Lougas</w:t>
      </w:r>
      <w:proofErr w:type="spellEnd"/>
      <w:r w:rsidRPr="000A0C37">
        <w:rPr>
          <w:rFonts w:ascii="Times New Roman" w:hAnsi="Times New Roman"/>
          <w:sz w:val="20"/>
          <w:szCs w:val="20"/>
        </w:rPr>
        <w:t xml:space="preserve"> L., Meadows J., </w:t>
      </w:r>
      <w:proofErr w:type="spellStart"/>
      <w:r w:rsidRPr="000A0C37">
        <w:rPr>
          <w:rFonts w:ascii="Times New Roman" w:hAnsi="Times New Roman"/>
          <w:sz w:val="20"/>
          <w:szCs w:val="20"/>
        </w:rPr>
        <w:t>Lucquin</w:t>
      </w:r>
      <w:proofErr w:type="spellEnd"/>
      <w:r w:rsidRPr="000A0C37">
        <w:rPr>
          <w:rFonts w:ascii="Times New Roman" w:hAnsi="Times New Roman"/>
          <w:sz w:val="20"/>
          <w:szCs w:val="20"/>
        </w:rPr>
        <w:t xml:space="preserve"> A., Craig O. 2017. Late Mesolithic Narva stage on the territory of Estonia: pottery, </w:t>
      </w:r>
      <w:r w:rsidR="00003182" w:rsidRPr="000A0C37">
        <w:rPr>
          <w:rFonts w:ascii="Times New Roman" w:hAnsi="Times New Roman"/>
          <w:sz w:val="20"/>
          <w:szCs w:val="20"/>
        </w:rPr>
        <w:t>settlements</w:t>
      </w:r>
      <w:r w:rsidRPr="000A0C37">
        <w:rPr>
          <w:rFonts w:ascii="Times New Roman" w:hAnsi="Times New Roman"/>
          <w:sz w:val="20"/>
          <w:szCs w:val="20"/>
        </w:rPr>
        <w:t xml:space="preserve"> types and chronology. Estonian Journal of Archaeology 21, 1: 52</w:t>
      </w:r>
      <w:r w:rsidRPr="000A0C37">
        <w:rPr>
          <w:rFonts w:ascii="Times New Roman" w:hAnsi="Times New Roman"/>
          <w:sz w:val="20"/>
          <w:szCs w:val="20"/>
          <w:lang w:eastAsia="ru-RU"/>
        </w:rPr>
        <w:t>–</w:t>
      </w:r>
      <w:r w:rsidRPr="000A0C37">
        <w:rPr>
          <w:rFonts w:ascii="Times New Roman" w:hAnsi="Times New Roman"/>
          <w:sz w:val="20"/>
          <w:szCs w:val="20"/>
        </w:rPr>
        <w:t>86.</w:t>
      </w:r>
    </w:p>
    <w:p w14:paraId="11526080" w14:textId="77777777" w:rsidR="00AB0525" w:rsidRPr="000A0C37" w:rsidRDefault="00AB0525" w:rsidP="000A0C37">
      <w:pPr>
        <w:pStyle w:val="Nagwek1"/>
        <w:shd w:val="clear" w:color="auto" w:fill="FFFFFF"/>
        <w:spacing w:before="0" w:beforeAutospacing="0" w:after="0" w:afterAutospacing="0"/>
        <w:ind w:firstLine="708"/>
        <w:contextualSpacing/>
        <w:jc w:val="both"/>
        <w:rPr>
          <w:sz w:val="20"/>
          <w:szCs w:val="20"/>
          <w:lang w:val="en-US"/>
        </w:rPr>
      </w:pPr>
      <w:proofErr w:type="spellStart"/>
      <w:r w:rsidRPr="000A0C37">
        <w:rPr>
          <w:b w:val="0"/>
          <w:sz w:val="20"/>
          <w:szCs w:val="20"/>
          <w:lang w:val="en-US"/>
        </w:rPr>
        <w:t>Kriiska</w:t>
      </w:r>
      <w:proofErr w:type="spellEnd"/>
      <w:r w:rsidRPr="000A0C37">
        <w:rPr>
          <w:b w:val="0"/>
          <w:sz w:val="20"/>
          <w:szCs w:val="20"/>
          <w:lang w:val="en-US"/>
        </w:rPr>
        <w:t xml:space="preserve"> A. 1996. The Neolithic pottery manufacturing technique of the Lower course of the Narva River. </w:t>
      </w:r>
      <w:r w:rsidRPr="000A0C37">
        <w:rPr>
          <w:b w:val="0"/>
          <w:bCs w:val="0"/>
          <w:sz w:val="20"/>
          <w:szCs w:val="20"/>
          <w:lang w:val="en-US"/>
        </w:rPr>
        <w:t xml:space="preserve">In Hackens T., Hicks S., Lang V. (eds.). Coastal Estonia: Recent Advances in Environmental and Cultural History. </w:t>
      </w:r>
      <w:proofErr w:type="spellStart"/>
      <w:r w:rsidRPr="000A0C37">
        <w:rPr>
          <w:b w:val="0"/>
          <w:bCs w:val="0"/>
          <w:sz w:val="20"/>
          <w:szCs w:val="20"/>
          <w:lang w:val="en-US"/>
        </w:rPr>
        <w:t>Rixensart</w:t>
      </w:r>
      <w:proofErr w:type="spellEnd"/>
      <w:r w:rsidRPr="000A0C37">
        <w:rPr>
          <w:b w:val="0"/>
          <w:bCs w:val="0"/>
          <w:sz w:val="20"/>
          <w:szCs w:val="20"/>
          <w:lang w:val="en-US"/>
        </w:rPr>
        <w:t>. PACT Belgium: 373</w:t>
      </w:r>
      <w:r w:rsidRPr="000A0C37">
        <w:rPr>
          <w:sz w:val="20"/>
          <w:szCs w:val="20"/>
          <w:lang w:val="en-US"/>
        </w:rPr>
        <w:t>–</w:t>
      </w:r>
      <w:r w:rsidRPr="000A0C37">
        <w:rPr>
          <w:b w:val="0"/>
          <w:bCs w:val="0"/>
          <w:sz w:val="20"/>
          <w:szCs w:val="20"/>
          <w:lang w:val="en-US"/>
        </w:rPr>
        <w:t>384.</w:t>
      </w:r>
      <w:r w:rsidRPr="000A0C37">
        <w:rPr>
          <w:sz w:val="20"/>
          <w:szCs w:val="20"/>
          <w:lang w:val="en-US"/>
        </w:rPr>
        <w:t xml:space="preserve"> </w:t>
      </w:r>
    </w:p>
    <w:p w14:paraId="204CC340" w14:textId="77777777" w:rsidR="00AB0525" w:rsidRPr="000A0C37" w:rsidRDefault="00AB0525" w:rsidP="000A0C37">
      <w:pPr>
        <w:autoSpaceDE w:val="0"/>
        <w:autoSpaceDN w:val="0"/>
        <w:adjustRightInd w:val="0"/>
        <w:ind w:firstLine="708"/>
        <w:contextualSpacing/>
        <w:jc w:val="both"/>
        <w:rPr>
          <w:rFonts w:ascii="Times New Roman" w:hAnsi="Times New Roman"/>
          <w:sz w:val="20"/>
          <w:szCs w:val="20"/>
          <w:lang w:val="fr-FR"/>
        </w:rPr>
      </w:pPr>
      <w:proofErr w:type="spellStart"/>
      <w:r w:rsidRPr="000A0C37">
        <w:rPr>
          <w:rFonts w:ascii="Times New Roman" w:hAnsi="Times New Roman"/>
          <w:sz w:val="20"/>
          <w:szCs w:val="20"/>
        </w:rPr>
        <w:t>Kulkova</w:t>
      </w:r>
      <w:proofErr w:type="spellEnd"/>
      <w:r w:rsidRPr="000A0C37">
        <w:rPr>
          <w:rFonts w:ascii="Times New Roman" w:hAnsi="Times New Roman"/>
          <w:sz w:val="20"/>
          <w:szCs w:val="20"/>
        </w:rPr>
        <w:t xml:space="preserve"> M., Mazurkevich A., </w:t>
      </w:r>
      <w:proofErr w:type="spellStart"/>
      <w:r w:rsidRPr="000A0C37">
        <w:rPr>
          <w:rFonts w:ascii="Times New Roman" w:hAnsi="Times New Roman"/>
          <w:sz w:val="20"/>
          <w:szCs w:val="20"/>
        </w:rPr>
        <w:t>Dolukhanov</w:t>
      </w:r>
      <w:proofErr w:type="spellEnd"/>
      <w:r w:rsidRPr="000A0C37">
        <w:rPr>
          <w:rFonts w:ascii="Times New Roman" w:hAnsi="Times New Roman"/>
          <w:sz w:val="20"/>
          <w:szCs w:val="20"/>
        </w:rPr>
        <w:t xml:space="preserve"> P. Chronology and </w:t>
      </w:r>
      <w:proofErr w:type="spellStart"/>
      <w:r w:rsidRPr="000A0C37">
        <w:rPr>
          <w:rFonts w:ascii="Times New Roman" w:hAnsi="Times New Roman"/>
          <w:sz w:val="20"/>
          <w:szCs w:val="20"/>
        </w:rPr>
        <w:t>paeloclimate</w:t>
      </w:r>
      <w:proofErr w:type="spellEnd"/>
      <w:r w:rsidRPr="000A0C37">
        <w:rPr>
          <w:rFonts w:ascii="Times New Roman" w:hAnsi="Times New Roman"/>
          <w:sz w:val="20"/>
          <w:szCs w:val="20"/>
        </w:rPr>
        <w:t xml:space="preserve"> of prehistoric sites in Western Dvina-Lovat’ area of North-Western Russia/ M. Kulkova, A. Mazurkevich, P. </w:t>
      </w:r>
      <w:proofErr w:type="spellStart"/>
      <w:r w:rsidRPr="000A0C37">
        <w:rPr>
          <w:rFonts w:ascii="Times New Roman" w:hAnsi="Times New Roman"/>
          <w:sz w:val="20"/>
          <w:szCs w:val="20"/>
        </w:rPr>
        <w:t>Dolukhanov</w:t>
      </w:r>
      <w:proofErr w:type="spellEnd"/>
      <w:r w:rsidRPr="000A0C37">
        <w:rPr>
          <w:rFonts w:ascii="Times New Roman" w:hAnsi="Times New Roman"/>
          <w:sz w:val="20"/>
          <w:szCs w:val="20"/>
        </w:rPr>
        <w:t xml:space="preserve"> // </w:t>
      </w:r>
      <w:proofErr w:type="spellStart"/>
      <w:r w:rsidRPr="000A0C37">
        <w:rPr>
          <w:rFonts w:ascii="Times New Roman" w:hAnsi="Times New Roman"/>
          <w:sz w:val="20"/>
          <w:szCs w:val="20"/>
        </w:rPr>
        <w:t>Geochronometria</w:t>
      </w:r>
      <w:proofErr w:type="spellEnd"/>
      <w:r w:rsidRPr="000A0C37">
        <w:rPr>
          <w:rFonts w:ascii="Times New Roman" w:hAnsi="Times New Roman"/>
          <w:sz w:val="20"/>
          <w:szCs w:val="20"/>
        </w:rPr>
        <w:t xml:space="preserve">. </w:t>
      </w:r>
      <w:r w:rsidRPr="000A0C37">
        <w:rPr>
          <w:rFonts w:ascii="Times New Roman" w:hAnsi="Times New Roman"/>
          <w:sz w:val="20"/>
          <w:szCs w:val="20"/>
          <w:lang w:val="fr-FR"/>
        </w:rPr>
        <w:t>Vol. 20. 2001. P. 87–94.</w:t>
      </w:r>
    </w:p>
    <w:p w14:paraId="3BEB434B" w14:textId="0E7DCB8D" w:rsidR="00AB0525" w:rsidRPr="000A0C37" w:rsidRDefault="00AB0525" w:rsidP="000A0C37">
      <w:pPr>
        <w:ind w:firstLine="708"/>
        <w:contextualSpacing/>
        <w:jc w:val="both"/>
        <w:rPr>
          <w:rFonts w:ascii="Times New Roman" w:hAnsi="Times New Roman"/>
          <w:sz w:val="20"/>
          <w:szCs w:val="20"/>
        </w:rPr>
      </w:pPr>
      <w:r w:rsidRPr="000A0C37">
        <w:rPr>
          <w:rFonts w:ascii="Times New Roman" w:hAnsi="Times New Roman"/>
          <w:sz w:val="20"/>
          <w:szCs w:val="20"/>
        </w:rPr>
        <w:t xml:space="preserve">Mazurkevich A., Dolbunova E. Reconstruction of the Early and Middle Neolithic </w:t>
      </w:r>
      <w:r w:rsidR="00003182" w:rsidRPr="000A0C37">
        <w:rPr>
          <w:rFonts w:ascii="Times New Roman" w:hAnsi="Times New Roman"/>
          <w:sz w:val="20"/>
          <w:szCs w:val="20"/>
        </w:rPr>
        <w:t>settlements</w:t>
      </w:r>
      <w:r w:rsidRPr="000A0C37">
        <w:rPr>
          <w:rFonts w:ascii="Times New Roman" w:hAnsi="Times New Roman"/>
          <w:sz w:val="20"/>
          <w:szCs w:val="20"/>
        </w:rPr>
        <w:t xml:space="preserve"> systems in the Upper Dvina region (NW Russia)/ A. Mazurkevich, E. Dolbunova// Go your own least cost path. BAR International Series 1964, Oxford, 2011. P. 25–32.</w:t>
      </w:r>
    </w:p>
    <w:p w14:paraId="784FC9AD" w14:textId="2FC5C47D" w:rsidR="005D5B88" w:rsidRPr="000A0C37" w:rsidRDefault="005D5B88" w:rsidP="000A0C37">
      <w:pPr>
        <w:shd w:val="clear" w:color="auto" w:fill="FFFFFF"/>
        <w:ind w:firstLine="0"/>
        <w:rPr>
          <w:rFonts w:ascii="Arial" w:hAnsi="Arial" w:cs="Arial"/>
          <w:color w:val="555555"/>
          <w:sz w:val="20"/>
          <w:szCs w:val="20"/>
          <w:lang w:eastAsia="ru-RU" w:bidi="ar-SA"/>
        </w:rPr>
      </w:pPr>
      <w:r w:rsidRPr="000A0C37">
        <w:rPr>
          <w:rFonts w:ascii="Times New Roman" w:hAnsi="Times New Roman"/>
          <w:sz w:val="20"/>
          <w:szCs w:val="20"/>
        </w:rPr>
        <w:t xml:space="preserve">Mazurkevich A., Dolbunova E. A. </w:t>
      </w:r>
      <w:hyperlink r:id="rId5" w:history="1">
        <w:r w:rsidRPr="000A0C37">
          <w:rPr>
            <w:rFonts w:ascii="Times New Roman" w:hAnsi="Times New Roman"/>
            <w:bCs/>
            <w:sz w:val="20"/>
            <w:szCs w:val="20"/>
            <w:bdr w:val="none" w:sz="0" w:space="0" w:color="auto" w:frame="1"/>
            <w:lang w:eastAsia="ru-RU" w:bidi="ar-SA"/>
          </w:rPr>
          <w:t>Aleksandrovsky</w:t>
        </w:r>
      </w:hyperlink>
      <w:r w:rsidRPr="000A0C37">
        <w:rPr>
          <w:rFonts w:ascii="Times New Roman" w:hAnsi="Times New Roman"/>
          <w:bCs/>
          <w:sz w:val="20"/>
          <w:szCs w:val="20"/>
          <w:lang w:eastAsia="ru-RU" w:bidi="ar-SA"/>
        </w:rPr>
        <w:t xml:space="preserve">, J. </w:t>
      </w:r>
      <w:hyperlink r:id="rId6" w:history="1">
        <w:r w:rsidRPr="000A0C37">
          <w:rPr>
            <w:rStyle w:val="Hipercze"/>
            <w:rFonts w:ascii="Times New Roman" w:hAnsi="Times New Roman"/>
            <w:bCs/>
            <w:color w:val="auto"/>
            <w:sz w:val="20"/>
            <w:szCs w:val="20"/>
            <w:u w:val="none"/>
            <w:bdr w:val="none" w:sz="0" w:space="0" w:color="auto" w:frame="1"/>
            <w:shd w:val="clear" w:color="auto" w:fill="FFFFFF"/>
          </w:rPr>
          <w:t>W. E. Fassbinder</w:t>
        </w:r>
      </w:hyperlink>
      <w:r w:rsidRPr="000A0C37">
        <w:rPr>
          <w:rFonts w:ascii="Times New Roman" w:hAnsi="Times New Roman"/>
          <w:sz w:val="20"/>
          <w:szCs w:val="20"/>
        </w:rPr>
        <w:t xml:space="preserve">, </w:t>
      </w:r>
      <w:hyperlink r:id="rId7" w:history="1">
        <w:r w:rsidRPr="000A0C37">
          <w:rPr>
            <w:rFonts w:ascii="Times New Roman" w:hAnsi="Times New Roman"/>
            <w:bCs/>
            <w:sz w:val="20"/>
            <w:szCs w:val="20"/>
            <w:bdr w:val="none" w:sz="0" w:space="0" w:color="auto" w:frame="1"/>
            <w:lang w:eastAsia="ru-RU" w:bidi="ar-SA"/>
          </w:rPr>
          <w:t>M. Sablin</w:t>
        </w:r>
      </w:hyperlink>
      <w:r w:rsidRPr="000A0C37">
        <w:rPr>
          <w:rFonts w:ascii="Times New Roman" w:hAnsi="Times New Roman"/>
          <w:bCs/>
          <w:sz w:val="20"/>
          <w:szCs w:val="20"/>
          <w:lang w:eastAsia="ru-RU" w:bidi="ar-SA"/>
        </w:rPr>
        <w:t>, I.</w:t>
      </w:r>
      <w:r w:rsidRPr="000A0C37">
        <w:rPr>
          <w:rFonts w:ascii="Times New Roman" w:hAnsi="Times New Roman"/>
          <w:bCs/>
          <w:sz w:val="20"/>
          <w:szCs w:val="20"/>
        </w:rPr>
        <w:t xml:space="preserve"> </w:t>
      </w:r>
      <w:hyperlink r:id="rId8" w:history="1">
        <w:proofErr w:type="spellStart"/>
        <w:r w:rsidRPr="000A0C37">
          <w:rPr>
            <w:rFonts w:ascii="Times New Roman" w:hAnsi="Times New Roman"/>
            <w:bCs/>
            <w:sz w:val="20"/>
            <w:szCs w:val="20"/>
            <w:bdr w:val="none" w:sz="0" w:space="0" w:color="auto" w:frame="1"/>
            <w:lang w:eastAsia="ru-RU" w:bidi="ar-SA"/>
          </w:rPr>
          <w:t>Shirobokov</w:t>
        </w:r>
        <w:proofErr w:type="spellEnd"/>
      </w:hyperlink>
      <w:r w:rsidRPr="000A0C37">
        <w:rPr>
          <w:rFonts w:ascii="Times New Roman" w:hAnsi="Times New Roman"/>
          <w:bCs/>
          <w:sz w:val="20"/>
          <w:szCs w:val="20"/>
          <w:lang w:eastAsia="ru-RU" w:bidi="ar-SA"/>
        </w:rPr>
        <w:t xml:space="preserve"> </w:t>
      </w:r>
      <w:r w:rsidR="00D92622" w:rsidRPr="000A0C37">
        <w:rPr>
          <w:rFonts w:ascii="Times New Roman" w:hAnsi="Times New Roman"/>
          <w:sz w:val="20"/>
          <w:szCs w:val="20"/>
        </w:rPr>
        <w:t xml:space="preserve">Preliminary results of a single barrow investigation near </w:t>
      </w:r>
      <w:proofErr w:type="spellStart"/>
      <w:r w:rsidR="00D92622" w:rsidRPr="000A0C37">
        <w:rPr>
          <w:rFonts w:ascii="Times New Roman" w:hAnsi="Times New Roman"/>
          <w:sz w:val="20"/>
          <w:szCs w:val="20"/>
        </w:rPr>
        <w:t>Serteya</w:t>
      </w:r>
      <w:proofErr w:type="spellEnd"/>
      <w:r w:rsidR="00D92622" w:rsidRPr="000A0C37">
        <w:rPr>
          <w:rFonts w:ascii="Times New Roman" w:hAnsi="Times New Roman"/>
          <w:sz w:val="20"/>
          <w:szCs w:val="20"/>
        </w:rPr>
        <w:t xml:space="preserve"> village (Smolensk region)</w:t>
      </w:r>
      <w:r w:rsidRPr="000A0C37">
        <w:rPr>
          <w:rFonts w:ascii="Times New Roman" w:hAnsi="Times New Roman"/>
          <w:sz w:val="20"/>
          <w:szCs w:val="20"/>
        </w:rPr>
        <w:t xml:space="preserve"> //</w:t>
      </w:r>
      <w:r w:rsidRPr="000A0C37">
        <w:rPr>
          <w:sz w:val="20"/>
          <w:szCs w:val="20"/>
        </w:rPr>
        <w:t xml:space="preserve"> </w:t>
      </w:r>
      <w:proofErr w:type="spellStart"/>
      <w:r w:rsidRPr="000A0C37">
        <w:rPr>
          <w:rFonts w:ascii="Times New Roman" w:hAnsi="Times New Roman"/>
          <w:sz w:val="20"/>
          <w:szCs w:val="20"/>
        </w:rPr>
        <w:t>Światowit</w:t>
      </w:r>
      <w:proofErr w:type="spellEnd"/>
      <w:r w:rsidRPr="000A0C37">
        <w:rPr>
          <w:rFonts w:ascii="Times New Roman" w:hAnsi="Times New Roman"/>
          <w:sz w:val="20"/>
          <w:szCs w:val="20"/>
        </w:rPr>
        <w:t xml:space="preserve"> </w:t>
      </w:r>
      <w:r w:rsidRPr="000A0C37">
        <w:rPr>
          <w:rFonts w:ascii="Times New Roman" w:hAnsi="Times New Roman"/>
          <w:sz w:val="20"/>
          <w:szCs w:val="20"/>
          <w:lang w:eastAsia="ru-RU" w:bidi="ar-SA"/>
        </w:rPr>
        <w:t>December 2019 v.57: 41-56</w:t>
      </w:r>
    </w:p>
    <w:p w14:paraId="760DAD13" w14:textId="77777777" w:rsidR="00F744D9" w:rsidRPr="000A0C37" w:rsidRDefault="00F744D9" w:rsidP="000A0C37">
      <w:pPr>
        <w:pStyle w:val="Akapitzlist"/>
        <w:ind w:left="0"/>
        <w:jc w:val="both"/>
        <w:rPr>
          <w:bCs/>
          <w:lang w:val="en-GB"/>
        </w:rPr>
      </w:pPr>
      <w:r w:rsidRPr="000A0C37">
        <w:rPr>
          <w:lang w:val="en-US"/>
        </w:rPr>
        <w:t xml:space="preserve">           Andrey Mazurkevich, Piotr Kittel, Yolaine Maigrot, Ekaterina Dolbunova, Agnieszka Mroczkowska, Magda Wieckowska-Lüth, Wiktor Piech. </w:t>
      </w:r>
      <w:r w:rsidRPr="000A0C37">
        <w:rPr>
          <w:bCs/>
          <w:lang w:val="en-GB"/>
        </w:rPr>
        <w:t xml:space="preserve">2020. Natural and anthropogenic impact on deposits’ formation in the wetland shore area: case study from the </w:t>
      </w:r>
      <w:proofErr w:type="spellStart"/>
      <w:r w:rsidRPr="000A0C37">
        <w:rPr>
          <w:bCs/>
          <w:lang w:val="en-GB"/>
        </w:rPr>
        <w:t>Serteya</w:t>
      </w:r>
      <w:proofErr w:type="spellEnd"/>
      <w:r w:rsidRPr="000A0C37">
        <w:rPr>
          <w:bCs/>
          <w:lang w:val="en-GB"/>
        </w:rPr>
        <w:t xml:space="preserve"> site, Western Russia. </w:t>
      </w:r>
      <w:r w:rsidRPr="000A0C37">
        <w:rPr>
          <w:bCs/>
          <w:i/>
          <w:lang w:val="en-GB"/>
        </w:rPr>
        <w:t xml:space="preserve">Acta </w:t>
      </w:r>
      <w:proofErr w:type="spellStart"/>
      <w:r w:rsidRPr="000A0C37">
        <w:rPr>
          <w:bCs/>
          <w:i/>
          <w:lang w:val="en-GB"/>
        </w:rPr>
        <w:t>Geographica</w:t>
      </w:r>
      <w:proofErr w:type="spellEnd"/>
      <w:r w:rsidRPr="000A0C37">
        <w:rPr>
          <w:bCs/>
          <w:i/>
          <w:lang w:val="en-GB"/>
        </w:rPr>
        <w:t xml:space="preserve"> </w:t>
      </w:r>
      <w:proofErr w:type="spellStart"/>
      <w:r w:rsidRPr="000A0C37">
        <w:rPr>
          <w:bCs/>
          <w:i/>
          <w:lang w:val="en-GB"/>
        </w:rPr>
        <w:t>Lodziensia</w:t>
      </w:r>
      <w:proofErr w:type="spellEnd"/>
      <w:r w:rsidRPr="000A0C37">
        <w:rPr>
          <w:bCs/>
          <w:i/>
          <w:lang w:val="en-GB"/>
        </w:rPr>
        <w:t xml:space="preserve"> 110. P. 81-102.</w:t>
      </w:r>
    </w:p>
    <w:p w14:paraId="4B81744E" w14:textId="77777777" w:rsidR="00AB0525" w:rsidRPr="000A0C37" w:rsidRDefault="00AB0525" w:rsidP="000A0C37">
      <w:pPr>
        <w:widowControl w:val="0"/>
        <w:autoSpaceDE w:val="0"/>
        <w:autoSpaceDN w:val="0"/>
        <w:adjustRightInd w:val="0"/>
        <w:ind w:firstLine="708"/>
        <w:contextualSpacing/>
        <w:jc w:val="both"/>
        <w:rPr>
          <w:rFonts w:ascii="Times New Roman" w:eastAsia="CharisSIL" w:hAnsi="Times New Roman"/>
          <w:sz w:val="20"/>
          <w:szCs w:val="20"/>
          <w:lang w:eastAsia="ru-RU"/>
        </w:rPr>
      </w:pPr>
      <w:r w:rsidRPr="000A0C37">
        <w:rPr>
          <w:rFonts w:ascii="Times New Roman" w:eastAsia="CharisSIL" w:hAnsi="Times New Roman"/>
          <w:sz w:val="20"/>
          <w:szCs w:val="20"/>
          <w:lang w:eastAsia="ru-RU"/>
        </w:rPr>
        <w:t xml:space="preserve">Papakosta V., </w:t>
      </w:r>
      <w:proofErr w:type="spellStart"/>
      <w:r w:rsidRPr="000A0C37">
        <w:rPr>
          <w:rFonts w:ascii="Times New Roman" w:eastAsia="CharisSIL" w:hAnsi="Times New Roman"/>
          <w:sz w:val="20"/>
          <w:szCs w:val="20"/>
          <w:lang w:eastAsia="ru-RU"/>
        </w:rPr>
        <w:t>Oras</w:t>
      </w:r>
      <w:proofErr w:type="spellEnd"/>
      <w:r w:rsidRPr="000A0C37">
        <w:rPr>
          <w:rFonts w:ascii="Times New Roman" w:eastAsia="CharisSIL" w:hAnsi="Times New Roman"/>
          <w:sz w:val="20"/>
          <w:szCs w:val="20"/>
          <w:lang w:eastAsia="ru-RU"/>
        </w:rPr>
        <w:t xml:space="preserve"> E., Isaksson S. 2019. Early pottery use across the Baltic – A comparative lipid residue study on </w:t>
      </w:r>
      <w:proofErr w:type="spellStart"/>
      <w:r w:rsidRPr="000A0C37">
        <w:rPr>
          <w:rFonts w:ascii="Times New Roman" w:eastAsia="CharisSIL" w:hAnsi="Times New Roman"/>
          <w:sz w:val="20"/>
          <w:szCs w:val="20"/>
          <w:lang w:eastAsia="ru-RU"/>
        </w:rPr>
        <w:t>Erteb</w:t>
      </w:r>
      <w:r w:rsidRPr="000A0C37">
        <w:rPr>
          <w:rFonts w:ascii="Times New Roman" w:hAnsi="Times New Roman"/>
          <w:sz w:val="20"/>
          <w:szCs w:val="20"/>
        </w:rPr>
        <w:t>Ø</w:t>
      </w:r>
      <w:r w:rsidRPr="000A0C37">
        <w:rPr>
          <w:rFonts w:ascii="Times New Roman" w:eastAsia="CharisSIL" w:hAnsi="Times New Roman"/>
          <w:sz w:val="20"/>
          <w:szCs w:val="20"/>
          <w:lang w:eastAsia="ru-RU"/>
        </w:rPr>
        <w:t>lle</w:t>
      </w:r>
      <w:proofErr w:type="spellEnd"/>
      <w:r w:rsidRPr="000A0C37">
        <w:rPr>
          <w:rFonts w:ascii="Times New Roman" w:eastAsia="CharisSIL" w:hAnsi="Times New Roman"/>
          <w:sz w:val="20"/>
          <w:szCs w:val="20"/>
          <w:lang w:eastAsia="ru-RU"/>
        </w:rPr>
        <w:t xml:space="preserve"> and Narva ceramics from coastal hunter-gatherer sites in southern Scandinavia, northern Germany and Estonia. Journal of Archaeological Science: Reports 24: 142–151.</w:t>
      </w:r>
    </w:p>
    <w:p w14:paraId="4057A8EE" w14:textId="77777777" w:rsidR="00AB0525" w:rsidRPr="000A0C37" w:rsidRDefault="00AB0525" w:rsidP="000A0C37">
      <w:pPr>
        <w:autoSpaceDE w:val="0"/>
        <w:autoSpaceDN w:val="0"/>
        <w:adjustRightInd w:val="0"/>
        <w:ind w:firstLine="708"/>
        <w:contextualSpacing/>
        <w:jc w:val="both"/>
        <w:rPr>
          <w:rFonts w:ascii="Times New Roman" w:hAnsi="Times New Roman"/>
          <w:sz w:val="20"/>
          <w:szCs w:val="20"/>
          <w:lang w:eastAsia="ru-RU"/>
        </w:rPr>
      </w:pPr>
      <w:r w:rsidRPr="000A0C37">
        <w:rPr>
          <w:rFonts w:ascii="Times New Roman" w:hAnsi="Times New Roman"/>
          <w:sz w:val="20"/>
          <w:szCs w:val="20"/>
          <w:lang w:eastAsia="ru-RU"/>
        </w:rPr>
        <w:t xml:space="preserve">Pääkkönen M., </w:t>
      </w:r>
      <w:proofErr w:type="spellStart"/>
      <w:r w:rsidRPr="000A0C37">
        <w:rPr>
          <w:rFonts w:ascii="Times New Roman" w:hAnsi="Times New Roman"/>
          <w:sz w:val="20"/>
          <w:szCs w:val="20"/>
          <w:lang w:eastAsia="ru-RU"/>
        </w:rPr>
        <w:t>Bläuer</w:t>
      </w:r>
      <w:proofErr w:type="spellEnd"/>
      <w:r w:rsidRPr="000A0C37">
        <w:rPr>
          <w:rFonts w:ascii="Times New Roman" w:hAnsi="Times New Roman"/>
          <w:sz w:val="20"/>
          <w:szCs w:val="20"/>
          <w:lang w:eastAsia="ru-RU"/>
        </w:rPr>
        <w:t xml:space="preserve"> A., Evershed R.P., Asplund H. 2016. Reconstructing food procurement and processing in early Comb ware period through organic residues in early comb and </w:t>
      </w:r>
      <w:proofErr w:type="spellStart"/>
      <w:r w:rsidRPr="000A0C37">
        <w:rPr>
          <w:rFonts w:ascii="Times New Roman" w:hAnsi="Times New Roman"/>
          <w:sz w:val="20"/>
          <w:szCs w:val="20"/>
          <w:lang w:eastAsia="ru-RU"/>
        </w:rPr>
        <w:t>Jäkärlä</w:t>
      </w:r>
      <w:proofErr w:type="spellEnd"/>
      <w:r w:rsidRPr="000A0C37">
        <w:rPr>
          <w:rFonts w:ascii="Times New Roman" w:hAnsi="Times New Roman"/>
          <w:sz w:val="20"/>
          <w:szCs w:val="20"/>
          <w:lang w:eastAsia="ru-RU"/>
        </w:rPr>
        <w:t xml:space="preserve"> ware pottery.  Fennoscandia </w:t>
      </w:r>
      <w:proofErr w:type="spellStart"/>
      <w:r w:rsidRPr="000A0C37">
        <w:rPr>
          <w:rFonts w:ascii="Times New Roman" w:hAnsi="Times New Roman"/>
          <w:sz w:val="20"/>
          <w:szCs w:val="20"/>
          <w:lang w:eastAsia="ru-RU"/>
        </w:rPr>
        <w:t>archaeologica</w:t>
      </w:r>
      <w:proofErr w:type="spellEnd"/>
      <w:r w:rsidRPr="000A0C37">
        <w:rPr>
          <w:rFonts w:ascii="Times New Roman" w:hAnsi="Times New Roman"/>
          <w:sz w:val="20"/>
          <w:szCs w:val="20"/>
          <w:lang w:eastAsia="ru-RU"/>
        </w:rPr>
        <w:t xml:space="preserve"> XXXIII: 57–75.</w:t>
      </w:r>
    </w:p>
    <w:p w14:paraId="7DF88F12" w14:textId="77777777" w:rsidR="00AB0525" w:rsidRPr="000A0C37" w:rsidRDefault="00AB0525" w:rsidP="000A0C37">
      <w:pPr>
        <w:widowControl w:val="0"/>
        <w:autoSpaceDE w:val="0"/>
        <w:autoSpaceDN w:val="0"/>
        <w:adjustRightInd w:val="0"/>
        <w:ind w:firstLine="708"/>
        <w:contextualSpacing/>
        <w:jc w:val="both"/>
        <w:rPr>
          <w:sz w:val="20"/>
          <w:szCs w:val="20"/>
          <w:lang w:val="ru-RU"/>
        </w:rPr>
      </w:pPr>
      <w:proofErr w:type="spellStart"/>
      <w:r w:rsidRPr="000A0C37">
        <w:rPr>
          <w:rFonts w:ascii="Times New Roman" w:hAnsi="Times New Roman"/>
          <w:sz w:val="20"/>
          <w:szCs w:val="20"/>
        </w:rPr>
        <w:t>Zagorskis</w:t>
      </w:r>
      <w:proofErr w:type="spellEnd"/>
      <w:r w:rsidRPr="000A0C37">
        <w:rPr>
          <w:rFonts w:ascii="Times New Roman" w:hAnsi="Times New Roman"/>
          <w:sz w:val="20"/>
          <w:szCs w:val="20"/>
        </w:rPr>
        <w:t xml:space="preserve"> F. 1973. </w:t>
      </w:r>
      <w:proofErr w:type="spellStart"/>
      <w:r w:rsidRPr="000A0C37">
        <w:rPr>
          <w:rFonts w:ascii="Times New Roman" w:hAnsi="Times New Roman"/>
          <w:sz w:val="20"/>
          <w:szCs w:val="20"/>
        </w:rPr>
        <w:t>Agrais</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neolita</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laikmets</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Latvijas</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austrumdala</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Latvijas</w:t>
      </w:r>
      <w:proofErr w:type="spellEnd"/>
      <w:r w:rsidRPr="000A0C37">
        <w:rPr>
          <w:rFonts w:ascii="Times New Roman" w:hAnsi="Times New Roman"/>
          <w:sz w:val="20"/>
          <w:szCs w:val="20"/>
        </w:rPr>
        <w:t xml:space="preserve"> PSR </w:t>
      </w:r>
      <w:proofErr w:type="spellStart"/>
      <w:r w:rsidRPr="000A0C37">
        <w:rPr>
          <w:rFonts w:ascii="Times New Roman" w:hAnsi="Times New Roman"/>
          <w:sz w:val="20"/>
          <w:szCs w:val="20"/>
        </w:rPr>
        <w:t>Zinatnu</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Akademijas</w:t>
      </w:r>
      <w:proofErr w:type="spellEnd"/>
      <w:r w:rsidRPr="000A0C37">
        <w:rPr>
          <w:rFonts w:ascii="Times New Roman" w:hAnsi="Times New Roman"/>
          <w:sz w:val="20"/>
          <w:szCs w:val="20"/>
        </w:rPr>
        <w:t xml:space="preserve"> </w:t>
      </w:r>
      <w:proofErr w:type="spellStart"/>
      <w:r w:rsidRPr="000A0C37">
        <w:rPr>
          <w:rFonts w:ascii="Times New Roman" w:hAnsi="Times New Roman"/>
          <w:sz w:val="20"/>
          <w:szCs w:val="20"/>
        </w:rPr>
        <w:t>Vestis</w:t>
      </w:r>
      <w:proofErr w:type="spellEnd"/>
      <w:r w:rsidRPr="000A0C37">
        <w:rPr>
          <w:rFonts w:ascii="Times New Roman" w:hAnsi="Times New Roman"/>
          <w:sz w:val="20"/>
          <w:szCs w:val="20"/>
        </w:rPr>
        <w:t xml:space="preserve"> 4: 56–69.</w:t>
      </w:r>
    </w:p>
    <w:p w14:paraId="76DD4684" w14:textId="77777777" w:rsidR="00AB0525" w:rsidRPr="000A0C37" w:rsidRDefault="00AB0525" w:rsidP="000A0C37">
      <w:pPr>
        <w:widowControl w:val="0"/>
        <w:autoSpaceDE w:val="0"/>
        <w:autoSpaceDN w:val="0"/>
        <w:adjustRightInd w:val="0"/>
        <w:ind w:firstLine="708"/>
        <w:contextualSpacing/>
        <w:jc w:val="both"/>
        <w:rPr>
          <w:rFonts w:ascii="Times New Roman" w:hAnsi="Times New Roman"/>
          <w:sz w:val="20"/>
          <w:szCs w:val="20"/>
        </w:rPr>
      </w:pPr>
    </w:p>
    <w:sectPr w:rsidR="00AB0525" w:rsidRPr="000A0C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harisSIL">
    <w:altName w:val="MS Gothic"/>
    <w:panose1 w:val="00000000000000000000"/>
    <w:charset w:val="81"/>
    <w:family w:val="auto"/>
    <w:notTrueType/>
    <w:pitch w:val="default"/>
    <w:sig w:usb0="00000001"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3B385A"/>
    <w:multiLevelType w:val="multilevel"/>
    <w:tmpl w:val="08367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6620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9A1"/>
    <w:rsid w:val="00003182"/>
    <w:rsid w:val="000325B3"/>
    <w:rsid w:val="00033F0C"/>
    <w:rsid w:val="00036F81"/>
    <w:rsid w:val="00065C47"/>
    <w:rsid w:val="000950C0"/>
    <w:rsid w:val="000A0C37"/>
    <w:rsid w:val="000B614D"/>
    <w:rsid w:val="000C4F61"/>
    <w:rsid w:val="000F49AE"/>
    <w:rsid w:val="00103536"/>
    <w:rsid w:val="001103BC"/>
    <w:rsid w:val="001300A2"/>
    <w:rsid w:val="001459A4"/>
    <w:rsid w:val="00155A03"/>
    <w:rsid w:val="00190C3C"/>
    <w:rsid w:val="00192E7C"/>
    <w:rsid w:val="001F4007"/>
    <w:rsid w:val="002449A1"/>
    <w:rsid w:val="00250098"/>
    <w:rsid w:val="00264D8D"/>
    <w:rsid w:val="00274451"/>
    <w:rsid w:val="002947AB"/>
    <w:rsid w:val="00295335"/>
    <w:rsid w:val="00295A1C"/>
    <w:rsid w:val="00295AC7"/>
    <w:rsid w:val="002A1E50"/>
    <w:rsid w:val="002A7CF9"/>
    <w:rsid w:val="002D7951"/>
    <w:rsid w:val="002E5A85"/>
    <w:rsid w:val="00322AB5"/>
    <w:rsid w:val="00333EE1"/>
    <w:rsid w:val="0034276E"/>
    <w:rsid w:val="00351D63"/>
    <w:rsid w:val="00352727"/>
    <w:rsid w:val="003570CE"/>
    <w:rsid w:val="00373235"/>
    <w:rsid w:val="003838B8"/>
    <w:rsid w:val="003B0159"/>
    <w:rsid w:val="003D4471"/>
    <w:rsid w:val="004006DF"/>
    <w:rsid w:val="0041498C"/>
    <w:rsid w:val="004278FF"/>
    <w:rsid w:val="004325DE"/>
    <w:rsid w:val="00436E07"/>
    <w:rsid w:val="00445263"/>
    <w:rsid w:val="004752E2"/>
    <w:rsid w:val="004B7495"/>
    <w:rsid w:val="004D1E39"/>
    <w:rsid w:val="00526E43"/>
    <w:rsid w:val="00545A96"/>
    <w:rsid w:val="00552083"/>
    <w:rsid w:val="005641C8"/>
    <w:rsid w:val="005868CB"/>
    <w:rsid w:val="005A7F06"/>
    <w:rsid w:val="005B4A07"/>
    <w:rsid w:val="005B6D9E"/>
    <w:rsid w:val="005D5B88"/>
    <w:rsid w:val="005F22CA"/>
    <w:rsid w:val="00640244"/>
    <w:rsid w:val="00646EC7"/>
    <w:rsid w:val="00647B50"/>
    <w:rsid w:val="00653C0B"/>
    <w:rsid w:val="00657FC8"/>
    <w:rsid w:val="00664919"/>
    <w:rsid w:val="00665F15"/>
    <w:rsid w:val="00682B42"/>
    <w:rsid w:val="006C12C3"/>
    <w:rsid w:val="006D3032"/>
    <w:rsid w:val="006E7949"/>
    <w:rsid w:val="00702100"/>
    <w:rsid w:val="00723D21"/>
    <w:rsid w:val="00737783"/>
    <w:rsid w:val="00756DC4"/>
    <w:rsid w:val="00763281"/>
    <w:rsid w:val="0077376E"/>
    <w:rsid w:val="007800C2"/>
    <w:rsid w:val="007824BD"/>
    <w:rsid w:val="00783D9C"/>
    <w:rsid w:val="007968D8"/>
    <w:rsid w:val="007C4594"/>
    <w:rsid w:val="00800021"/>
    <w:rsid w:val="008021C2"/>
    <w:rsid w:val="00814EE0"/>
    <w:rsid w:val="00826BF7"/>
    <w:rsid w:val="008542F8"/>
    <w:rsid w:val="008574E6"/>
    <w:rsid w:val="00863D24"/>
    <w:rsid w:val="00891330"/>
    <w:rsid w:val="00892F99"/>
    <w:rsid w:val="008A2F4F"/>
    <w:rsid w:val="008C079B"/>
    <w:rsid w:val="008C2582"/>
    <w:rsid w:val="008D562F"/>
    <w:rsid w:val="008E6146"/>
    <w:rsid w:val="00906537"/>
    <w:rsid w:val="00926E50"/>
    <w:rsid w:val="00945056"/>
    <w:rsid w:val="009537AE"/>
    <w:rsid w:val="009645F1"/>
    <w:rsid w:val="009763E1"/>
    <w:rsid w:val="009844A1"/>
    <w:rsid w:val="009962D5"/>
    <w:rsid w:val="009B3734"/>
    <w:rsid w:val="009C501D"/>
    <w:rsid w:val="009F07EE"/>
    <w:rsid w:val="009F6037"/>
    <w:rsid w:val="00A05E64"/>
    <w:rsid w:val="00A23A40"/>
    <w:rsid w:val="00A30BE0"/>
    <w:rsid w:val="00A8333C"/>
    <w:rsid w:val="00AA7398"/>
    <w:rsid w:val="00AB0525"/>
    <w:rsid w:val="00AC39DC"/>
    <w:rsid w:val="00AD2239"/>
    <w:rsid w:val="00AD26D8"/>
    <w:rsid w:val="00AD6169"/>
    <w:rsid w:val="00AF6746"/>
    <w:rsid w:val="00BA27DC"/>
    <w:rsid w:val="00BB1913"/>
    <w:rsid w:val="00BC3D89"/>
    <w:rsid w:val="00BD7D00"/>
    <w:rsid w:val="00BE0BC4"/>
    <w:rsid w:val="00C676E9"/>
    <w:rsid w:val="00C87801"/>
    <w:rsid w:val="00CC680F"/>
    <w:rsid w:val="00CE6163"/>
    <w:rsid w:val="00CF0985"/>
    <w:rsid w:val="00CF21DA"/>
    <w:rsid w:val="00CF423D"/>
    <w:rsid w:val="00D13122"/>
    <w:rsid w:val="00D23A27"/>
    <w:rsid w:val="00D46F85"/>
    <w:rsid w:val="00D62F1C"/>
    <w:rsid w:val="00D6386E"/>
    <w:rsid w:val="00D6395A"/>
    <w:rsid w:val="00D75123"/>
    <w:rsid w:val="00D840DF"/>
    <w:rsid w:val="00D92622"/>
    <w:rsid w:val="00DA2D9D"/>
    <w:rsid w:val="00DB3EEB"/>
    <w:rsid w:val="00DC40B5"/>
    <w:rsid w:val="00DD41DB"/>
    <w:rsid w:val="00DE53F6"/>
    <w:rsid w:val="00DF0963"/>
    <w:rsid w:val="00DF61C8"/>
    <w:rsid w:val="00E05163"/>
    <w:rsid w:val="00E06FFE"/>
    <w:rsid w:val="00E23BBC"/>
    <w:rsid w:val="00E30D8F"/>
    <w:rsid w:val="00E32162"/>
    <w:rsid w:val="00E442E8"/>
    <w:rsid w:val="00E477B1"/>
    <w:rsid w:val="00E67461"/>
    <w:rsid w:val="00E81E5C"/>
    <w:rsid w:val="00E87076"/>
    <w:rsid w:val="00E87CF5"/>
    <w:rsid w:val="00E91F89"/>
    <w:rsid w:val="00EB6E89"/>
    <w:rsid w:val="00EC03EA"/>
    <w:rsid w:val="00ED7A77"/>
    <w:rsid w:val="00EF46BE"/>
    <w:rsid w:val="00F109F2"/>
    <w:rsid w:val="00F33E7D"/>
    <w:rsid w:val="00F46117"/>
    <w:rsid w:val="00F47D73"/>
    <w:rsid w:val="00F51AFC"/>
    <w:rsid w:val="00F64CB9"/>
    <w:rsid w:val="00F744D9"/>
    <w:rsid w:val="00F75263"/>
    <w:rsid w:val="00F81DC4"/>
    <w:rsid w:val="00F85C6E"/>
    <w:rsid w:val="00FF2D98"/>
    <w:rsid w:val="00FF76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5AE35"/>
  <w15:chartTrackingRefBased/>
  <w15:docId w15:val="{54E5F4F9-D75B-4CCA-91FF-4FAA8AF20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49A1"/>
    <w:pPr>
      <w:spacing w:after="0" w:line="240" w:lineRule="auto"/>
      <w:ind w:firstLine="360"/>
    </w:pPr>
    <w:rPr>
      <w:rFonts w:ascii="Calibri" w:eastAsia="Times New Roman" w:hAnsi="Calibri" w:cs="Times New Roman"/>
      <w:lang w:val="en-US" w:bidi="en-US"/>
    </w:rPr>
  </w:style>
  <w:style w:type="paragraph" w:styleId="Nagwek1">
    <w:name w:val="heading 1"/>
    <w:basedOn w:val="Normalny"/>
    <w:link w:val="Nagwek1Znak"/>
    <w:uiPriority w:val="9"/>
    <w:qFormat/>
    <w:rsid w:val="00AB0525"/>
    <w:pPr>
      <w:spacing w:before="100" w:beforeAutospacing="1" w:after="100" w:afterAutospacing="1"/>
      <w:ind w:firstLine="0"/>
      <w:outlineLvl w:val="0"/>
    </w:pPr>
    <w:rPr>
      <w:rFonts w:ascii="Times New Roman" w:hAnsi="Times New Roman"/>
      <w:b/>
      <w:bCs/>
      <w:kern w:val="36"/>
      <w:sz w:val="48"/>
      <w:szCs w:val="48"/>
      <w:lang w:val="ru-RU" w:eastAsia="ru-RU"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Абзац списка1"/>
    <w:basedOn w:val="Normalny"/>
    <w:rsid w:val="002449A1"/>
    <w:pPr>
      <w:ind w:left="720"/>
      <w:contextualSpacing/>
    </w:pPr>
  </w:style>
  <w:style w:type="character" w:styleId="Odwoaniedokomentarza">
    <w:name w:val="annotation reference"/>
    <w:basedOn w:val="Domylnaczcionkaakapitu"/>
    <w:uiPriority w:val="99"/>
    <w:semiHidden/>
    <w:unhideWhenUsed/>
    <w:rsid w:val="009F6037"/>
    <w:rPr>
      <w:sz w:val="16"/>
      <w:szCs w:val="16"/>
    </w:rPr>
  </w:style>
  <w:style w:type="paragraph" w:styleId="Tekstkomentarza">
    <w:name w:val="annotation text"/>
    <w:basedOn w:val="Normalny"/>
    <w:link w:val="TekstkomentarzaZnak"/>
    <w:uiPriority w:val="99"/>
    <w:semiHidden/>
    <w:unhideWhenUsed/>
    <w:rsid w:val="009F6037"/>
    <w:rPr>
      <w:sz w:val="20"/>
      <w:szCs w:val="20"/>
    </w:rPr>
  </w:style>
  <w:style w:type="character" w:customStyle="1" w:styleId="TekstkomentarzaZnak">
    <w:name w:val="Tekst komentarza Znak"/>
    <w:basedOn w:val="Domylnaczcionkaakapitu"/>
    <w:link w:val="Tekstkomentarza"/>
    <w:uiPriority w:val="99"/>
    <w:semiHidden/>
    <w:rsid w:val="009F6037"/>
    <w:rPr>
      <w:rFonts w:ascii="Calibri" w:eastAsia="Times New Roman" w:hAnsi="Calibri" w:cs="Times New Roman"/>
      <w:sz w:val="20"/>
      <w:szCs w:val="20"/>
      <w:lang w:val="en-US" w:bidi="en-US"/>
    </w:rPr>
  </w:style>
  <w:style w:type="paragraph" w:styleId="Tematkomentarza">
    <w:name w:val="annotation subject"/>
    <w:basedOn w:val="Tekstkomentarza"/>
    <w:next w:val="Tekstkomentarza"/>
    <w:link w:val="TematkomentarzaZnak"/>
    <w:uiPriority w:val="99"/>
    <w:semiHidden/>
    <w:unhideWhenUsed/>
    <w:rsid w:val="009F6037"/>
    <w:rPr>
      <w:b/>
      <w:bCs/>
    </w:rPr>
  </w:style>
  <w:style w:type="character" w:customStyle="1" w:styleId="TematkomentarzaZnak">
    <w:name w:val="Temat komentarza Znak"/>
    <w:basedOn w:val="TekstkomentarzaZnak"/>
    <w:link w:val="Tematkomentarza"/>
    <w:uiPriority w:val="99"/>
    <w:semiHidden/>
    <w:rsid w:val="009F6037"/>
    <w:rPr>
      <w:rFonts w:ascii="Calibri" w:eastAsia="Times New Roman" w:hAnsi="Calibri" w:cs="Times New Roman"/>
      <w:b/>
      <w:bCs/>
      <w:sz w:val="20"/>
      <w:szCs w:val="20"/>
      <w:lang w:val="en-US" w:bidi="en-US"/>
    </w:rPr>
  </w:style>
  <w:style w:type="paragraph" w:styleId="Tekstdymka">
    <w:name w:val="Balloon Text"/>
    <w:basedOn w:val="Normalny"/>
    <w:link w:val="TekstdymkaZnak"/>
    <w:uiPriority w:val="99"/>
    <w:semiHidden/>
    <w:unhideWhenUsed/>
    <w:rsid w:val="009F603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6037"/>
    <w:rPr>
      <w:rFonts w:ascii="Segoe UI" w:eastAsia="Times New Roman" w:hAnsi="Segoe UI" w:cs="Segoe UI"/>
      <w:sz w:val="18"/>
      <w:szCs w:val="18"/>
      <w:lang w:val="en-US" w:bidi="en-US"/>
    </w:rPr>
  </w:style>
  <w:style w:type="character" w:customStyle="1" w:styleId="Nagwek1Znak">
    <w:name w:val="Nagłówek 1 Znak"/>
    <w:basedOn w:val="Domylnaczcionkaakapitu"/>
    <w:link w:val="Nagwek1"/>
    <w:uiPriority w:val="9"/>
    <w:rsid w:val="00AB0525"/>
    <w:rPr>
      <w:rFonts w:ascii="Times New Roman" w:eastAsia="Times New Roman" w:hAnsi="Times New Roman" w:cs="Times New Roman"/>
      <w:b/>
      <w:bCs/>
      <w:kern w:val="36"/>
      <w:sz w:val="48"/>
      <w:szCs w:val="48"/>
      <w:lang w:eastAsia="ru-RU"/>
    </w:rPr>
  </w:style>
  <w:style w:type="paragraph" w:styleId="Akapitzlist">
    <w:name w:val="List Paragraph"/>
    <w:basedOn w:val="Normalny"/>
    <w:uiPriority w:val="34"/>
    <w:qFormat/>
    <w:rsid w:val="00F744D9"/>
    <w:pPr>
      <w:ind w:left="720" w:firstLine="0"/>
      <w:contextualSpacing/>
    </w:pPr>
    <w:rPr>
      <w:rFonts w:ascii="Times New Roman" w:hAnsi="Times New Roman"/>
      <w:sz w:val="20"/>
      <w:szCs w:val="20"/>
      <w:lang w:val="ru-RU" w:eastAsia="ru-RU" w:bidi="ar-SA"/>
    </w:rPr>
  </w:style>
  <w:style w:type="character" w:styleId="Hipercze">
    <w:name w:val="Hyperlink"/>
    <w:basedOn w:val="Domylnaczcionkaakapitu"/>
    <w:uiPriority w:val="99"/>
    <w:semiHidden/>
    <w:unhideWhenUsed/>
    <w:rsid w:val="005D5B88"/>
    <w:rPr>
      <w:color w:val="0000FF"/>
      <w:u w:val="single"/>
    </w:rPr>
  </w:style>
  <w:style w:type="character" w:customStyle="1" w:styleId="publication-header-authorfont-weight-normal">
    <w:name w:val="publication-header-author__font-weight-normal"/>
    <w:basedOn w:val="Domylnaczcionkaakapitu"/>
    <w:rsid w:val="005D5B88"/>
  </w:style>
  <w:style w:type="paragraph" w:styleId="Poprawka">
    <w:name w:val="Revision"/>
    <w:hidden/>
    <w:uiPriority w:val="99"/>
    <w:semiHidden/>
    <w:rsid w:val="00EB6E89"/>
    <w:pPr>
      <w:spacing w:after="0" w:line="240" w:lineRule="auto"/>
    </w:pPr>
    <w:rPr>
      <w:rFonts w:ascii="Calibri" w:eastAsia="Times New Roman"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484905">
      <w:bodyDiv w:val="1"/>
      <w:marLeft w:val="0"/>
      <w:marRight w:val="0"/>
      <w:marTop w:val="0"/>
      <w:marBottom w:val="0"/>
      <w:divBdr>
        <w:top w:val="none" w:sz="0" w:space="0" w:color="auto"/>
        <w:left w:val="none" w:sz="0" w:space="0" w:color="auto"/>
        <w:bottom w:val="none" w:sz="0" w:space="0" w:color="auto"/>
        <w:right w:val="none" w:sz="0" w:space="0" w:color="auto"/>
      </w:divBdr>
      <w:divsChild>
        <w:div w:id="1715230364">
          <w:marLeft w:val="0"/>
          <w:marRight w:val="0"/>
          <w:marTop w:val="0"/>
          <w:marBottom w:val="0"/>
          <w:divBdr>
            <w:top w:val="none" w:sz="0" w:space="0" w:color="auto"/>
            <w:left w:val="none" w:sz="0" w:space="0" w:color="auto"/>
            <w:bottom w:val="none" w:sz="0" w:space="0" w:color="auto"/>
            <w:right w:val="none" w:sz="0" w:space="0" w:color="auto"/>
          </w:divBdr>
          <w:divsChild>
            <w:div w:id="1485126643">
              <w:marLeft w:val="0"/>
              <w:marRight w:val="0"/>
              <w:marTop w:val="0"/>
              <w:marBottom w:val="0"/>
              <w:divBdr>
                <w:top w:val="none" w:sz="0" w:space="0" w:color="auto"/>
                <w:left w:val="none" w:sz="0" w:space="0" w:color="auto"/>
                <w:bottom w:val="none" w:sz="0" w:space="0" w:color="auto"/>
                <w:right w:val="none" w:sz="0" w:space="0" w:color="auto"/>
              </w:divBdr>
              <w:divsChild>
                <w:div w:id="1734041959">
                  <w:marLeft w:val="0"/>
                  <w:marRight w:val="0"/>
                  <w:marTop w:val="0"/>
                  <w:marBottom w:val="0"/>
                  <w:divBdr>
                    <w:top w:val="none" w:sz="0" w:space="0" w:color="auto"/>
                    <w:left w:val="none" w:sz="0" w:space="0" w:color="auto"/>
                    <w:bottom w:val="none" w:sz="0" w:space="0" w:color="auto"/>
                    <w:right w:val="none" w:sz="0" w:space="0" w:color="auto"/>
                  </w:divBdr>
                  <w:divsChild>
                    <w:div w:id="180582828">
                      <w:marLeft w:val="0"/>
                      <w:marRight w:val="0"/>
                      <w:marTop w:val="0"/>
                      <w:marBottom w:val="0"/>
                      <w:divBdr>
                        <w:top w:val="none" w:sz="0" w:space="0" w:color="auto"/>
                        <w:left w:val="none" w:sz="0" w:space="0" w:color="auto"/>
                        <w:bottom w:val="none" w:sz="0" w:space="0" w:color="auto"/>
                        <w:right w:val="none" w:sz="0" w:space="0" w:color="auto"/>
                      </w:divBdr>
                      <w:divsChild>
                        <w:div w:id="152698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4851621">
      <w:bodyDiv w:val="1"/>
      <w:marLeft w:val="0"/>
      <w:marRight w:val="0"/>
      <w:marTop w:val="0"/>
      <w:marBottom w:val="0"/>
      <w:divBdr>
        <w:top w:val="none" w:sz="0" w:space="0" w:color="auto"/>
        <w:left w:val="none" w:sz="0" w:space="0" w:color="auto"/>
        <w:bottom w:val="none" w:sz="0" w:space="0" w:color="auto"/>
        <w:right w:val="none" w:sz="0" w:space="0" w:color="auto"/>
      </w:divBdr>
      <w:divsChild>
        <w:div w:id="891111818">
          <w:marLeft w:val="0"/>
          <w:marRight w:val="0"/>
          <w:marTop w:val="0"/>
          <w:marBottom w:val="0"/>
          <w:divBdr>
            <w:top w:val="none" w:sz="0" w:space="0" w:color="auto"/>
            <w:left w:val="none" w:sz="0" w:space="0" w:color="auto"/>
            <w:bottom w:val="none" w:sz="0" w:space="0" w:color="auto"/>
            <w:right w:val="none" w:sz="0" w:space="0" w:color="auto"/>
          </w:divBdr>
          <w:divsChild>
            <w:div w:id="533076702">
              <w:marLeft w:val="0"/>
              <w:marRight w:val="0"/>
              <w:marTop w:val="0"/>
              <w:marBottom w:val="0"/>
              <w:divBdr>
                <w:top w:val="none" w:sz="0" w:space="0" w:color="auto"/>
                <w:left w:val="none" w:sz="0" w:space="0" w:color="auto"/>
                <w:bottom w:val="none" w:sz="0" w:space="0" w:color="auto"/>
                <w:right w:val="none" w:sz="0" w:space="0" w:color="auto"/>
              </w:divBdr>
              <w:divsChild>
                <w:div w:id="2144614902">
                  <w:marLeft w:val="0"/>
                  <w:marRight w:val="0"/>
                  <w:marTop w:val="0"/>
                  <w:marBottom w:val="0"/>
                  <w:divBdr>
                    <w:top w:val="none" w:sz="0" w:space="0" w:color="auto"/>
                    <w:left w:val="none" w:sz="0" w:space="0" w:color="auto"/>
                    <w:bottom w:val="none" w:sz="0" w:space="0" w:color="auto"/>
                    <w:right w:val="none" w:sz="0" w:space="0" w:color="auto"/>
                  </w:divBdr>
                  <w:divsChild>
                    <w:div w:id="480122885">
                      <w:marLeft w:val="-150"/>
                      <w:marRight w:val="0"/>
                      <w:marTop w:val="0"/>
                      <w:marBottom w:val="0"/>
                      <w:divBdr>
                        <w:top w:val="none" w:sz="0" w:space="0" w:color="auto"/>
                        <w:left w:val="none" w:sz="0" w:space="0" w:color="auto"/>
                        <w:bottom w:val="none" w:sz="0" w:space="0" w:color="auto"/>
                        <w:right w:val="none" w:sz="0" w:space="0" w:color="auto"/>
                      </w:divBdr>
                      <w:divsChild>
                        <w:div w:id="534656208">
                          <w:marLeft w:val="0"/>
                          <w:marRight w:val="0"/>
                          <w:marTop w:val="0"/>
                          <w:marBottom w:val="0"/>
                          <w:divBdr>
                            <w:top w:val="none" w:sz="0" w:space="0" w:color="auto"/>
                            <w:left w:val="none" w:sz="0" w:space="0" w:color="auto"/>
                            <w:bottom w:val="none" w:sz="0" w:space="0" w:color="auto"/>
                            <w:right w:val="none" w:sz="0" w:space="0" w:color="auto"/>
                          </w:divBdr>
                          <w:divsChild>
                            <w:div w:id="323170175">
                              <w:marLeft w:val="0"/>
                              <w:marRight w:val="0"/>
                              <w:marTop w:val="0"/>
                              <w:marBottom w:val="0"/>
                              <w:divBdr>
                                <w:top w:val="none" w:sz="0" w:space="0" w:color="auto"/>
                                <w:left w:val="none" w:sz="0" w:space="0" w:color="auto"/>
                                <w:bottom w:val="none" w:sz="0" w:space="0" w:color="auto"/>
                                <w:right w:val="none" w:sz="0" w:space="0" w:color="auto"/>
                              </w:divBdr>
                              <w:divsChild>
                                <w:div w:id="777217295">
                                  <w:marLeft w:val="0"/>
                                  <w:marRight w:val="0"/>
                                  <w:marTop w:val="0"/>
                                  <w:marBottom w:val="0"/>
                                  <w:divBdr>
                                    <w:top w:val="none" w:sz="0" w:space="0" w:color="auto"/>
                                    <w:left w:val="none" w:sz="0" w:space="0" w:color="auto"/>
                                    <w:bottom w:val="none" w:sz="0" w:space="0" w:color="auto"/>
                                    <w:right w:val="none" w:sz="0" w:space="0" w:color="auto"/>
                                  </w:divBdr>
                                  <w:divsChild>
                                    <w:div w:id="891428951">
                                      <w:marLeft w:val="0"/>
                                      <w:marRight w:val="0"/>
                                      <w:marTop w:val="0"/>
                                      <w:marBottom w:val="0"/>
                                      <w:divBdr>
                                        <w:top w:val="none" w:sz="0" w:space="0" w:color="auto"/>
                                        <w:left w:val="none" w:sz="0" w:space="0" w:color="auto"/>
                                        <w:bottom w:val="none" w:sz="0" w:space="0" w:color="auto"/>
                                        <w:right w:val="none" w:sz="0" w:space="0" w:color="auto"/>
                                      </w:divBdr>
                                      <w:divsChild>
                                        <w:div w:id="564992563">
                                          <w:marLeft w:val="0"/>
                                          <w:marRight w:val="0"/>
                                          <w:marTop w:val="0"/>
                                          <w:marBottom w:val="0"/>
                                          <w:divBdr>
                                            <w:top w:val="none" w:sz="0" w:space="0" w:color="auto"/>
                                            <w:left w:val="none" w:sz="0" w:space="0" w:color="auto"/>
                                            <w:bottom w:val="none" w:sz="0" w:space="0" w:color="auto"/>
                                            <w:right w:val="none" w:sz="0" w:space="0" w:color="auto"/>
                                          </w:divBdr>
                                          <w:divsChild>
                                            <w:div w:id="5837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4352629">
          <w:marLeft w:val="0"/>
          <w:marRight w:val="0"/>
          <w:marTop w:val="0"/>
          <w:marBottom w:val="0"/>
          <w:divBdr>
            <w:top w:val="none" w:sz="0" w:space="0" w:color="auto"/>
            <w:left w:val="none" w:sz="0" w:space="0" w:color="auto"/>
            <w:bottom w:val="none" w:sz="0" w:space="0" w:color="auto"/>
            <w:right w:val="none" w:sz="0" w:space="0" w:color="auto"/>
          </w:divBdr>
          <w:divsChild>
            <w:div w:id="2084599744">
              <w:marLeft w:val="0"/>
              <w:marRight w:val="0"/>
              <w:marTop w:val="0"/>
              <w:marBottom w:val="0"/>
              <w:divBdr>
                <w:top w:val="none" w:sz="0" w:space="0" w:color="auto"/>
                <w:left w:val="none" w:sz="0" w:space="0" w:color="auto"/>
                <w:bottom w:val="none" w:sz="0" w:space="0" w:color="auto"/>
                <w:right w:val="none" w:sz="0" w:space="0" w:color="auto"/>
              </w:divBdr>
              <w:divsChild>
                <w:div w:id="1320502864">
                  <w:marLeft w:val="0"/>
                  <w:marRight w:val="0"/>
                  <w:marTop w:val="0"/>
                  <w:marBottom w:val="0"/>
                  <w:divBdr>
                    <w:top w:val="none" w:sz="0" w:space="0" w:color="auto"/>
                    <w:left w:val="none" w:sz="0" w:space="0" w:color="auto"/>
                    <w:bottom w:val="none" w:sz="0" w:space="0" w:color="auto"/>
                    <w:right w:val="none" w:sz="0" w:space="0" w:color="auto"/>
                  </w:divBdr>
                  <w:divsChild>
                    <w:div w:id="2066099749">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526380">
      <w:bodyDiv w:val="1"/>
      <w:marLeft w:val="0"/>
      <w:marRight w:val="0"/>
      <w:marTop w:val="0"/>
      <w:marBottom w:val="0"/>
      <w:divBdr>
        <w:top w:val="none" w:sz="0" w:space="0" w:color="auto"/>
        <w:left w:val="none" w:sz="0" w:space="0" w:color="auto"/>
        <w:bottom w:val="none" w:sz="0" w:space="0" w:color="auto"/>
        <w:right w:val="none" w:sz="0" w:space="0" w:color="auto"/>
      </w:divBdr>
    </w:div>
    <w:div w:id="1371758337">
      <w:bodyDiv w:val="1"/>
      <w:marLeft w:val="0"/>
      <w:marRight w:val="0"/>
      <w:marTop w:val="0"/>
      <w:marBottom w:val="0"/>
      <w:divBdr>
        <w:top w:val="none" w:sz="0" w:space="0" w:color="auto"/>
        <w:left w:val="none" w:sz="0" w:space="0" w:color="auto"/>
        <w:bottom w:val="none" w:sz="0" w:space="0" w:color="auto"/>
        <w:right w:val="none" w:sz="0" w:space="0" w:color="auto"/>
      </w:divBdr>
    </w:div>
    <w:div w:id="1916696342">
      <w:bodyDiv w:val="1"/>
      <w:marLeft w:val="0"/>
      <w:marRight w:val="0"/>
      <w:marTop w:val="0"/>
      <w:marBottom w:val="0"/>
      <w:divBdr>
        <w:top w:val="none" w:sz="0" w:space="0" w:color="auto"/>
        <w:left w:val="none" w:sz="0" w:space="0" w:color="auto"/>
        <w:bottom w:val="none" w:sz="0" w:space="0" w:color="auto"/>
        <w:right w:val="none" w:sz="0" w:space="0" w:color="auto"/>
      </w:divBdr>
      <w:divsChild>
        <w:div w:id="280570520">
          <w:marLeft w:val="-300"/>
          <w:marRight w:val="0"/>
          <w:marTop w:val="0"/>
          <w:marBottom w:val="150"/>
          <w:divBdr>
            <w:top w:val="none" w:sz="0" w:space="0" w:color="auto"/>
            <w:left w:val="none" w:sz="0" w:space="0" w:color="auto"/>
            <w:bottom w:val="none" w:sz="0" w:space="0" w:color="auto"/>
            <w:right w:val="none" w:sz="0" w:space="0" w:color="auto"/>
          </w:divBdr>
          <w:divsChild>
            <w:div w:id="1139761559">
              <w:marLeft w:val="0"/>
              <w:marRight w:val="0"/>
              <w:marTop w:val="0"/>
              <w:marBottom w:val="0"/>
              <w:divBdr>
                <w:top w:val="none" w:sz="0" w:space="0" w:color="auto"/>
                <w:left w:val="none" w:sz="0" w:space="0" w:color="auto"/>
                <w:bottom w:val="none" w:sz="0" w:space="0" w:color="auto"/>
                <w:right w:val="none" w:sz="0" w:space="0" w:color="auto"/>
              </w:divBdr>
              <w:divsChild>
                <w:div w:id="1890073509">
                  <w:marLeft w:val="0"/>
                  <w:marRight w:val="0"/>
                  <w:marTop w:val="0"/>
                  <w:marBottom w:val="0"/>
                  <w:divBdr>
                    <w:top w:val="none" w:sz="0" w:space="0" w:color="auto"/>
                    <w:left w:val="none" w:sz="0" w:space="0" w:color="auto"/>
                    <w:bottom w:val="none" w:sz="0" w:space="0" w:color="auto"/>
                    <w:right w:val="none" w:sz="0" w:space="0" w:color="auto"/>
                  </w:divBdr>
                  <w:divsChild>
                    <w:div w:id="1686664396">
                      <w:marLeft w:val="0"/>
                      <w:marRight w:val="0"/>
                      <w:marTop w:val="0"/>
                      <w:marBottom w:val="0"/>
                      <w:divBdr>
                        <w:top w:val="none" w:sz="0" w:space="0" w:color="auto"/>
                        <w:left w:val="none" w:sz="0" w:space="0" w:color="auto"/>
                        <w:bottom w:val="none" w:sz="0" w:space="0" w:color="auto"/>
                        <w:right w:val="none" w:sz="0" w:space="0" w:color="auto"/>
                      </w:divBdr>
                      <w:divsChild>
                        <w:div w:id="1634751226">
                          <w:marLeft w:val="-150"/>
                          <w:marRight w:val="0"/>
                          <w:marTop w:val="0"/>
                          <w:marBottom w:val="0"/>
                          <w:divBdr>
                            <w:top w:val="none" w:sz="0" w:space="0" w:color="auto"/>
                            <w:left w:val="none" w:sz="0" w:space="0" w:color="auto"/>
                            <w:bottom w:val="none" w:sz="0" w:space="0" w:color="auto"/>
                            <w:right w:val="none" w:sz="0" w:space="0" w:color="auto"/>
                          </w:divBdr>
                          <w:divsChild>
                            <w:div w:id="1125392936">
                              <w:marLeft w:val="0"/>
                              <w:marRight w:val="0"/>
                              <w:marTop w:val="0"/>
                              <w:marBottom w:val="0"/>
                              <w:divBdr>
                                <w:top w:val="none" w:sz="0" w:space="0" w:color="auto"/>
                                <w:left w:val="none" w:sz="0" w:space="0" w:color="auto"/>
                                <w:bottom w:val="none" w:sz="0" w:space="0" w:color="auto"/>
                                <w:right w:val="none" w:sz="0" w:space="0" w:color="auto"/>
                              </w:divBdr>
                              <w:divsChild>
                                <w:div w:id="80833622">
                                  <w:marLeft w:val="0"/>
                                  <w:marRight w:val="0"/>
                                  <w:marTop w:val="0"/>
                                  <w:marBottom w:val="0"/>
                                  <w:divBdr>
                                    <w:top w:val="none" w:sz="0" w:space="0" w:color="auto"/>
                                    <w:left w:val="none" w:sz="0" w:space="0" w:color="auto"/>
                                    <w:bottom w:val="none" w:sz="0" w:space="0" w:color="auto"/>
                                    <w:right w:val="none" w:sz="0" w:space="0" w:color="auto"/>
                                  </w:divBdr>
                                  <w:divsChild>
                                    <w:div w:id="194270157">
                                      <w:marLeft w:val="0"/>
                                      <w:marRight w:val="0"/>
                                      <w:marTop w:val="0"/>
                                      <w:marBottom w:val="0"/>
                                      <w:divBdr>
                                        <w:top w:val="none" w:sz="0" w:space="0" w:color="auto"/>
                                        <w:left w:val="none" w:sz="0" w:space="0" w:color="auto"/>
                                        <w:bottom w:val="none" w:sz="0" w:space="0" w:color="auto"/>
                                        <w:right w:val="none" w:sz="0" w:space="0" w:color="auto"/>
                                      </w:divBdr>
                                      <w:divsChild>
                                        <w:div w:id="737477492">
                                          <w:marLeft w:val="0"/>
                                          <w:marRight w:val="0"/>
                                          <w:marTop w:val="0"/>
                                          <w:marBottom w:val="0"/>
                                          <w:divBdr>
                                            <w:top w:val="none" w:sz="0" w:space="0" w:color="auto"/>
                                            <w:left w:val="none" w:sz="0" w:space="0" w:color="auto"/>
                                            <w:bottom w:val="none" w:sz="0" w:space="0" w:color="auto"/>
                                            <w:right w:val="none" w:sz="0" w:space="0" w:color="auto"/>
                                          </w:divBdr>
                                          <w:divsChild>
                                            <w:div w:id="1594970572">
                                              <w:marLeft w:val="0"/>
                                              <w:marRight w:val="0"/>
                                              <w:marTop w:val="0"/>
                                              <w:marBottom w:val="0"/>
                                              <w:divBdr>
                                                <w:top w:val="none" w:sz="0" w:space="0" w:color="auto"/>
                                                <w:left w:val="none" w:sz="0" w:space="0" w:color="auto"/>
                                                <w:bottom w:val="none" w:sz="0" w:space="0" w:color="auto"/>
                                                <w:right w:val="none" w:sz="0" w:space="0" w:color="auto"/>
                                              </w:divBdr>
                                              <w:divsChild>
                                                <w:div w:id="103056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Ivan-Shirobokov" TargetMode="External"/><Relationship Id="rId3" Type="http://schemas.openxmlformats.org/officeDocument/2006/relationships/settings" Target="settings.xml"/><Relationship Id="rId7" Type="http://schemas.openxmlformats.org/officeDocument/2006/relationships/hyperlink" Target="https://www.researchgate.net/profile/Mikhail-Sabl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esearchgate.net/profile/Joerg-Fassbinder-2" TargetMode="External"/><Relationship Id="rId5" Type="http://schemas.openxmlformats.org/officeDocument/2006/relationships/hyperlink" Target="https://www.researchgate.net/scientific-contributions/Aleksandr-L-Aleksandrovsky-2168711227"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8</Pages>
  <Words>4105</Words>
  <Characters>22296</Characters>
  <Application>Microsoft Office Word</Application>
  <DocSecurity>0</DocSecurity>
  <Lines>318</Lines>
  <Paragraphs>69</Paragraphs>
  <ScaleCrop>false</ScaleCrop>
  <HeadingPairs>
    <vt:vector size="4" baseType="variant">
      <vt:variant>
        <vt:lpstr>Tytuł</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Мазуркевич Андрей Николаевич</dc:creator>
  <cp:keywords/>
  <dc:description/>
  <cp:lastModifiedBy>Piotr Kittel</cp:lastModifiedBy>
  <cp:revision>4</cp:revision>
  <dcterms:created xsi:type="dcterms:W3CDTF">2023-01-23T13:38:00Z</dcterms:created>
  <dcterms:modified xsi:type="dcterms:W3CDTF">2026-03-31T15:02:00Z</dcterms:modified>
</cp:coreProperties>
</file>