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34" w:rsidRPr="00642670" w:rsidRDefault="00DE076E" w:rsidP="00DE076E">
      <w:pPr>
        <w:pStyle w:val="FutureTytuart"/>
        <w:suppressAutoHyphens/>
      </w:pPr>
      <w:r w:rsidRPr="00DE076E">
        <w:t>POLITYK</w:t>
      </w:r>
      <w:r>
        <w:t>A PIENIĘŻNA A STABILNOŚĆ RYNKÓW </w:t>
      </w:r>
      <w:r w:rsidRPr="00DE076E">
        <w:t>FINANSOWYCH</w:t>
      </w:r>
      <w:r>
        <w:t xml:space="preserve"> </w:t>
      </w:r>
      <w:r w:rsidR="00642670">
        <w:t xml:space="preserve">                                                   </w:t>
      </w:r>
      <w:r w:rsidR="00642670" w:rsidRPr="00642670">
        <w:rPr>
          <w:caps w:val="0"/>
        </w:rPr>
        <w:t>(na przykładzie polityki systemu rezerwy federalnej)</w:t>
      </w:r>
    </w:p>
    <w:p w:rsidR="00E30026" w:rsidRPr="008724A4" w:rsidRDefault="00DE076E" w:rsidP="008724A4">
      <w:pPr>
        <w:pStyle w:val="FutureAutor"/>
      </w:pPr>
      <w:r w:rsidRPr="00DE076E">
        <w:t>Jacek Zawirski</w:t>
      </w:r>
      <w:r w:rsidR="008724A4" w:rsidRPr="00E70E7A">
        <w:rPr>
          <w:rStyle w:val="Odwoanieprzypisudolnego"/>
          <w:b w:val="0"/>
          <w:szCs w:val="22"/>
        </w:rPr>
        <w:footnoteReference w:customMarkFollows="1" w:id="2"/>
        <w:t>*</w:t>
      </w:r>
    </w:p>
    <w:p w:rsidR="00830A54" w:rsidRPr="00830A54" w:rsidRDefault="000A6D89" w:rsidP="00830A54">
      <w:pPr>
        <w:pStyle w:val="FutureStreszczeniepol"/>
      </w:pPr>
      <w:r w:rsidRPr="00830A54">
        <w:t>S</w:t>
      </w:r>
      <w:r w:rsidR="00DC7BA0" w:rsidRPr="00830A54">
        <w:t>treszczenie</w:t>
      </w:r>
      <w:r w:rsidRPr="00830A54">
        <w:t xml:space="preserve">: </w:t>
      </w:r>
    </w:p>
    <w:p w:rsidR="00EC1634" w:rsidRPr="00830A54" w:rsidRDefault="00642670" w:rsidP="00830A54">
      <w:pPr>
        <w:pStyle w:val="FutureStreszczeniepol"/>
      </w:pPr>
      <w:r w:rsidRPr="00642670">
        <w:t>Artykuł ma na celu zaprezentowanie zależności między polityką pieniężną, koniunkturą g</w:t>
      </w:r>
      <w:r w:rsidRPr="00642670">
        <w:t>o</w:t>
      </w:r>
      <w:r w:rsidRPr="00642670">
        <w:t>spodarczą i kondycją rynków finansowych. Ostatni globalny kryzys i późniejsze działania banków centralnych unaoczniły jak ścisłe są to powiązania. W opracowaniu przedstawiony został wpływ polityki monetarnej na koniunkturę gospodarczą, rynek nieruchomości i notowania wybranych instrumentów finansowych. Autor dowodzi, że polityka pieniężna ma coraz większy wpływ na koniunkturę gospodarczą i zachowanie rynków finansowych. Opracowanie pokazuje potrzebę stabilności systemu finansowego dla prawidłowego funkcjonowania gospodarek</w:t>
      </w:r>
      <w:r w:rsidR="00830A54" w:rsidRPr="00830A54">
        <w:t>.</w:t>
      </w:r>
    </w:p>
    <w:p w:rsidR="001708F9" w:rsidRPr="00830A54" w:rsidRDefault="001708F9" w:rsidP="00830A54">
      <w:pPr>
        <w:pStyle w:val="FutureSowakluczowe"/>
      </w:pPr>
      <w:r w:rsidRPr="00830A54">
        <w:t xml:space="preserve">Słowa kluczowe: </w:t>
      </w:r>
      <w:r w:rsidR="00642670" w:rsidRPr="00642670">
        <w:t>polityka pieniężna, stabilność finansowa, rynki finansowe, cykle koniun</w:t>
      </w:r>
      <w:r w:rsidR="00642670" w:rsidRPr="00642670">
        <w:t>k</w:t>
      </w:r>
      <w:r w:rsidR="00642670" w:rsidRPr="00642670">
        <w:t xml:space="preserve">turalne, polityka </w:t>
      </w:r>
      <w:proofErr w:type="spellStart"/>
      <w:r w:rsidR="00642670" w:rsidRPr="00642670">
        <w:t>makroostrożnościowa</w:t>
      </w:r>
      <w:proofErr w:type="spellEnd"/>
      <w:r w:rsidR="00642670">
        <w:t>.</w:t>
      </w:r>
    </w:p>
    <w:p w:rsidR="00E30026" w:rsidRPr="00F16B10" w:rsidRDefault="00E30026" w:rsidP="00830A54">
      <w:pPr>
        <w:pStyle w:val="FutureTyturozdziau"/>
      </w:pPr>
      <w:r w:rsidRPr="00E30026">
        <w:t>Wpr</w:t>
      </w:r>
      <w:r w:rsidR="00F16B10">
        <w:t>owadzenie</w:t>
      </w:r>
    </w:p>
    <w:p w:rsidR="00F16B10" w:rsidRPr="00D52901" w:rsidRDefault="00F16B10" w:rsidP="00F16B10">
      <w:pPr>
        <w:pStyle w:val="FutureTekstpodstawowy"/>
        <w:rPr>
          <w:spacing w:val="2"/>
        </w:rPr>
      </w:pPr>
      <w:r>
        <w:t>Prężny rozwój rynków finansowych w ostatnich trzydziestu latach sprawił, że pojawiły się nowe zjawiska, niewystępujące wcześniej albo występujące w bardzo ograniczonym zakresie. Liberalizacja sektora finansowego połączona z postępującą globalizacją i swobodnym przepływem kapitału zdynamizowała rozwój ekonomiczny na świecie, ale równocześn</w:t>
      </w:r>
      <w:r w:rsidR="00D52901">
        <w:t>ie przyczyniła się do powstania</w:t>
      </w:r>
      <w:r>
        <w:t xml:space="preserve"> groźnych w skutkach kryzysów finansowych i bankowych. Kulminację owych niekorzystnych zjawisk stanowiło załamanie finansowe lat 2007–2009 i będąca jego skutkiem recesja. Główny ciężar opanowania postępującej zapaści gosp</w:t>
      </w:r>
      <w:r>
        <w:t>o</w:t>
      </w:r>
      <w:r>
        <w:lastRenderedPageBreak/>
        <w:t xml:space="preserve">darczej spoczął na bankach centralnych. </w:t>
      </w:r>
      <w:r w:rsidRPr="00D52901">
        <w:rPr>
          <w:spacing w:val="2"/>
        </w:rPr>
        <w:t>Wykorzystując niekonwencjonalne rozwiązania i instrumenty w postaci polityki luzowania ilościowego i wyją</w:t>
      </w:r>
      <w:r w:rsidRPr="00D52901">
        <w:rPr>
          <w:spacing w:val="2"/>
        </w:rPr>
        <w:t>t</w:t>
      </w:r>
      <w:r w:rsidRPr="00D52901">
        <w:rPr>
          <w:spacing w:val="2"/>
        </w:rPr>
        <w:t>kowo niskich stóp procentowych banki centralne w dużej mierze odniosły su</w:t>
      </w:r>
      <w:r w:rsidRPr="00D52901">
        <w:rPr>
          <w:spacing w:val="2"/>
        </w:rPr>
        <w:t>k</w:t>
      </w:r>
      <w:r w:rsidRPr="00D52901">
        <w:rPr>
          <w:spacing w:val="2"/>
        </w:rPr>
        <w:t>ces. Polityka pieniężna stała się jednym z filarów współczesnej polityki g</w:t>
      </w:r>
      <w:r w:rsidRPr="00D52901">
        <w:rPr>
          <w:spacing w:val="2"/>
        </w:rPr>
        <w:t>o</w:t>
      </w:r>
      <w:r w:rsidRPr="00D52901">
        <w:rPr>
          <w:spacing w:val="2"/>
        </w:rPr>
        <w:t>spoda</w:t>
      </w:r>
      <w:r w:rsidRPr="00D52901">
        <w:rPr>
          <w:spacing w:val="2"/>
        </w:rPr>
        <w:t>r</w:t>
      </w:r>
      <w:r w:rsidRPr="00D52901">
        <w:rPr>
          <w:spacing w:val="2"/>
        </w:rPr>
        <w:t xml:space="preserve">czej. </w:t>
      </w:r>
    </w:p>
    <w:p w:rsidR="00F16B10" w:rsidRDefault="00F16B10" w:rsidP="00F16B10">
      <w:pPr>
        <w:pStyle w:val="FutureTekstpodstawowy"/>
      </w:pPr>
      <w:r>
        <w:t>Występujące coraz częściej kryzysy finansowe skłoniły komentatorów do wnikliwych badań przyczyn i mechanizmów ich powstawania. Pojawił się te</w:t>
      </w:r>
      <w:r>
        <w:t>r</w:t>
      </w:r>
      <w:r>
        <w:t>min stabilność finansowa, rozumiana jako stan, w którym system finansowy jest zdolny w trwały sposób wypełniać swoje funkcje, tj. efektywnie alokować fu</w:t>
      </w:r>
      <w:r>
        <w:t>n</w:t>
      </w:r>
      <w:r>
        <w:t>dusze od oszczędzających do najbardziej produktywnych inwestorów [Szcz</w:t>
      </w:r>
      <w:r>
        <w:t>e</w:t>
      </w:r>
      <w:r>
        <w:t xml:space="preserve">pańska 2008: 34]. Jest ona traktowana jest jako dobro publiczne. Powszechnym postulatem stało się powierzenie bankom centralnym odpowiedzialności za utrzymanie stabilności finansowej w ramach polityki </w:t>
      </w:r>
      <w:proofErr w:type="spellStart"/>
      <w:r>
        <w:t>makroostrożnościowej</w:t>
      </w:r>
      <w:proofErr w:type="spellEnd"/>
      <w:r>
        <w:t>. Ogromnego znaczenia nabrała korelacja i interakcje pomiędzy polityką pienię</w:t>
      </w:r>
      <w:r>
        <w:t>ż</w:t>
      </w:r>
      <w:r>
        <w:t>ną a zachowaniem rynków finansowych, bowiem poprzez rynki finansowe prz</w:t>
      </w:r>
      <w:r>
        <w:t>e</w:t>
      </w:r>
      <w:r>
        <w:t xml:space="preserve">chodzą początkowe impulsy polityki monetarnej, zanim wpłyną na realną sferę gospodarki. Od stabilności tych rynków i stopnia ich rozwoju zależy w znacznej mierze efektywność polityki pieniężnej. </w:t>
      </w:r>
    </w:p>
    <w:p w:rsidR="00F16B10" w:rsidRDefault="00F16B10" w:rsidP="00F16B10">
      <w:pPr>
        <w:pStyle w:val="FutureTekstpodstawowy"/>
      </w:pPr>
      <w:r>
        <w:t xml:space="preserve">Celem opracowania jest wykazanie, że zależności między polityką banków centralnych, koniunkturą gospodarczą i kondycją rynków finansowych stają się coraz ściślejsze. </w:t>
      </w:r>
    </w:p>
    <w:p w:rsidR="00771FCD" w:rsidRDefault="00F16B10" w:rsidP="00F16B10">
      <w:pPr>
        <w:pStyle w:val="FutureTekstpodstawowy"/>
      </w:pPr>
      <w:r w:rsidRPr="00F16B10">
        <w:t>Ze względu na ograniczenia formalne autor przedstawił wyłącznie posuni</w:t>
      </w:r>
      <w:r w:rsidRPr="00F16B10">
        <w:t>ę</w:t>
      </w:r>
      <w:r w:rsidRPr="00F16B10">
        <w:t>cia Systemu Rezerwy Federalnej</w:t>
      </w:r>
      <w:r w:rsidR="00771FCD" w:rsidRPr="00F16B10">
        <w:t>.</w:t>
      </w:r>
    </w:p>
    <w:p w:rsidR="00F16B10" w:rsidRPr="00F16B10" w:rsidRDefault="00F16B10" w:rsidP="00F16B10">
      <w:pPr>
        <w:pStyle w:val="FutureTyturozdziau"/>
      </w:pPr>
      <w:r>
        <w:t>1. </w:t>
      </w:r>
      <w:r w:rsidRPr="00F16B10">
        <w:t>BANKI CENTRALNE A KONIUNKTURA GOSPODARCZA</w:t>
      </w:r>
    </w:p>
    <w:p w:rsidR="00F16B10" w:rsidRPr="00DA708D" w:rsidRDefault="00F16B10" w:rsidP="00DA708D">
      <w:pPr>
        <w:pStyle w:val="FutureTekstpodstawowy"/>
        <w:rPr>
          <w:szCs w:val="24"/>
        </w:rPr>
      </w:pPr>
      <w:r w:rsidRPr="00DA708D">
        <w:rPr>
          <w:szCs w:val="24"/>
        </w:rPr>
        <w:t>Od lat trwa wśród ekonomistów spór o przyczyny powstawania cykli k</w:t>
      </w:r>
      <w:r w:rsidRPr="00DA708D">
        <w:rPr>
          <w:szCs w:val="24"/>
        </w:rPr>
        <w:t>o</w:t>
      </w:r>
      <w:r w:rsidRPr="00DA708D">
        <w:rPr>
          <w:szCs w:val="24"/>
        </w:rPr>
        <w:t>niunkturalnych. Istnieją dwa główne nurty – teorie upatrujące impulsów pow</w:t>
      </w:r>
      <w:r w:rsidRPr="00DA708D">
        <w:rPr>
          <w:szCs w:val="24"/>
        </w:rPr>
        <w:t>o</w:t>
      </w:r>
      <w:r w:rsidRPr="00DA708D">
        <w:rPr>
          <w:szCs w:val="24"/>
        </w:rPr>
        <w:t>dujących wahania gospodarcze w źródłach wewnętrznych, a drugi nurt – w źr</w:t>
      </w:r>
      <w:r w:rsidRPr="00DA708D">
        <w:rPr>
          <w:szCs w:val="24"/>
        </w:rPr>
        <w:t>ó</w:t>
      </w:r>
      <w:r w:rsidRPr="00DA708D">
        <w:rPr>
          <w:szCs w:val="24"/>
        </w:rPr>
        <w:t>dłach zewnętrznych [</w:t>
      </w:r>
      <w:proofErr w:type="spellStart"/>
      <w:r w:rsidRPr="00DA708D">
        <w:rPr>
          <w:szCs w:val="24"/>
        </w:rPr>
        <w:t>Samuelson</w:t>
      </w:r>
      <w:proofErr w:type="spellEnd"/>
      <w:r w:rsidRPr="00DA708D">
        <w:rPr>
          <w:szCs w:val="24"/>
        </w:rPr>
        <w:t xml:space="preserve"> i </w:t>
      </w:r>
      <w:proofErr w:type="spellStart"/>
      <w:r w:rsidRPr="00DA708D">
        <w:rPr>
          <w:szCs w:val="24"/>
        </w:rPr>
        <w:t>Nordhaus</w:t>
      </w:r>
      <w:proofErr w:type="spellEnd"/>
      <w:r w:rsidRPr="00DA708D">
        <w:rPr>
          <w:szCs w:val="24"/>
        </w:rPr>
        <w:t xml:space="preserve"> 2012: 437]. </w:t>
      </w:r>
    </w:p>
    <w:p w:rsidR="00F16B10" w:rsidRPr="00DA708D" w:rsidRDefault="00F16B10" w:rsidP="00DA708D">
      <w:pPr>
        <w:pStyle w:val="FutureTekstpodstawowy"/>
        <w:rPr>
          <w:szCs w:val="24"/>
        </w:rPr>
      </w:pPr>
      <w:r w:rsidRPr="00DA708D">
        <w:rPr>
          <w:szCs w:val="24"/>
        </w:rPr>
        <w:t>Teorie wpływu wewnętrznego doszukują się mechanizmów wahań koniun</w:t>
      </w:r>
      <w:r w:rsidRPr="00DA708D">
        <w:rPr>
          <w:szCs w:val="24"/>
        </w:rPr>
        <w:t>k</w:t>
      </w:r>
      <w:r w:rsidRPr="00DA708D">
        <w:rPr>
          <w:szCs w:val="24"/>
        </w:rPr>
        <w:t>tury w samej gospodarce. Zgodnie z tym podejściem każde spowolnienie rodzi odrodzenie i ożywienie, a każde ożywienie jest źródłem spowolnienia i recesji. Ta koncepcja współcześnie zyskuje coraz liczniejsze grono zwolenników, b</w:t>
      </w:r>
      <w:r w:rsidRPr="00DA708D">
        <w:rPr>
          <w:szCs w:val="24"/>
        </w:rPr>
        <w:t>o</w:t>
      </w:r>
      <w:r w:rsidRPr="00DA708D">
        <w:rPr>
          <w:szCs w:val="24"/>
        </w:rPr>
        <w:t xml:space="preserve">wiem wiele cykli koniunkturalnych w ostatnich kilkudziesięciu latach miało charakter wewnętrzny – powstało w sektorze finansowym. Niektórzy autorzy, jak choćby Jesus </w:t>
      </w:r>
      <w:proofErr w:type="spellStart"/>
      <w:r w:rsidRPr="00DA708D">
        <w:rPr>
          <w:szCs w:val="24"/>
        </w:rPr>
        <w:t>Huerta</w:t>
      </w:r>
      <w:proofErr w:type="spellEnd"/>
      <w:r w:rsidRPr="00DA708D">
        <w:rPr>
          <w:szCs w:val="24"/>
        </w:rPr>
        <w:t xml:space="preserve"> de Soto w systemie finansowym współczesnego świata upatrują destrukcyjny wpływ na rozwój gospodarczy jako główną przyczynę załamań i recesji wskazując ekspansję kredytową [de Soto 2009: 301</w:t>
      </w:r>
      <w:r w:rsidR="0028214A">
        <w:rPr>
          <w:szCs w:val="24"/>
        </w:rPr>
        <w:t>–</w:t>
      </w:r>
      <w:r w:rsidRPr="00DA708D">
        <w:rPr>
          <w:szCs w:val="24"/>
        </w:rPr>
        <w:t>381]. Głównym skutkiem wywołanym przez ekspansję kredytową są błędy inwest</w:t>
      </w:r>
      <w:r w:rsidRPr="00DA708D">
        <w:rPr>
          <w:szCs w:val="24"/>
        </w:rPr>
        <w:t>y</w:t>
      </w:r>
      <w:r w:rsidRPr="00DA708D">
        <w:rPr>
          <w:szCs w:val="24"/>
        </w:rPr>
        <w:t xml:space="preserve">cyjne w strukturze produkcji, polegające na powstawaniu licznych nietrafionych </w:t>
      </w:r>
      <w:r w:rsidRPr="00DA708D">
        <w:rPr>
          <w:szCs w:val="24"/>
        </w:rPr>
        <w:lastRenderedPageBreak/>
        <w:t>projektów inwestycyjnych. Nie mniej istotnym efektem jest nadmierny wzrost cen aktywów (szczególnie nieruchomości i akcji). Oba te elementy nieuchronnie prowadzą do destabilizacji sytuacji ekonomicznej. Dlatego wspólnymi cechami gospodarek kapitalistycznych na całym świecie są boomy i bańki spekulacyjne. Występowały one w XIX w</w:t>
      </w:r>
      <w:r w:rsidR="0028214A">
        <w:rPr>
          <w:szCs w:val="24"/>
        </w:rPr>
        <w:t>.</w:t>
      </w:r>
      <w:r w:rsidRPr="00DA708D">
        <w:rPr>
          <w:szCs w:val="24"/>
        </w:rPr>
        <w:t xml:space="preserve">, były przyczyną Wielkiego Kryzysu i powróciły   </w:t>
      </w:r>
      <w:r w:rsidR="0028214A">
        <w:rPr>
          <w:szCs w:val="24"/>
        </w:rPr>
        <w:t>w </w:t>
      </w:r>
      <w:r w:rsidRPr="00DA708D">
        <w:rPr>
          <w:szCs w:val="24"/>
        </w:rPr>
        <w:t xml:space="preserve">ostatnich dwudziestu latach. </w:t>
      </w:r>
    </w:p>
    <w:p w:rsidR="00F16B10" w:rsidRPr="00DA708D" w:rsidRDefault="00F16B10" w:rsidP="00DA708D">
      <w:pPr>
        <w:pStyle w:val="FutureTekstpodstawowy"/>
        <w:rPr>
          <w:szCs w:val="24"/>
        </w:rPr>
      </w:pPr>
      <w:r w:rsidRPr="00DA708D">
        <w:rPr>
          <w:szCs w:val="24"/>
        </w:rPr>
        <w:t>Wraz z rozwojem rynków finansowych i powstaniem całej gamy nowych instrumentów finansowych kryzysy związane z gwałtownym wzrostem ich wa</w:t>
      </w:r>
      <w:r w:rsidRPr="00DA708D">
        <w:rPr>
          <w:szCs w:val="24"/>
        </w:rPr>
        <w:t>r</w:t>
      </w:r>
      <w:r w:rsidRPr="00DA708D">
        <w:rPr>
          <w:szCs w:val="24"/>
        </w:rPr>
        <w:t>tości i następujących po nich równie spektakularnych załamaniach nabrały szczególnego znaczenia dla wyjaśnienia współczesnych cykli koniunkturalnych. Globalizacja rynków finansowych, szybkość przepływu informacji i zawierania transakcji spowodowały, że rynki finansowe odgrywają obecnie podstawową rolę w procesie „zarażania”, a więc transmisji impulsów przewartościowania wywołujących przegrzanie gospodarki i późniejsze załamanie notowań instr</w:t>
      </w:r>
      <w:r w:rsidRPr="00DA708D">
        <w:rPr>
          <w:szCs w:val="24"/>
        </w:rPr>
        <w:t>u</w:t>
      </w:r>
      <w:r w:rsidRPr="00DA708D">
        <w:rPr>
          <w:szCs w:val="24"/>
        </w:rPr>
        <w:t>mentów finansowych, co wpędza gospodarki w recesje [</w:t>
      </w:r>
      <w:proofErr w:type="spellStart"/>
      <w:r w:rsidRPr="00DA708D">
        <w:rPr>
          <w:szCs w:val="24"/>
        </w:rPr>
        <w:t>Drozdowicz-Bieć</w:t>
      </w:r>
      <w:proofErr w:type="spellEnd"/>
      <w:r w:rsidRPr="00DA708D">
        <w:rPr>
          <w:szCs w:val="24"/>
        </w:rPr>
        <w:t xml:space="preserve"> 2012: 34</w:t>
      </w:r>
      <w:r w:rsidR="0028214A">
        <w:rPr>
          <w:szCs w:val="24"/>
        </w:rPr>
        <w:t>–</w:t>
      </w:r>
      <w:r w:rsidRPr="00DA708D">
        <w:rPr>
          <w:szCs w:val="24"/>
        </w:rPr>
        <w:t>35]. W efekcie, nawet najbardziej efektywna i „zdrowa” część gospodarki zostaje zainfekowana, przede wszystkim wskutek ograniczenia dopływu kapit</w:t>
      </w:r>
      <w:r w:rsidRPr="00DA708D">
        <w:rPr>
          <w:szCs w:val="24"/>
        </w:rPr>
        <w:t>a</w:t>
      </w:r>
      <w:r w:rsidRPr="00DA708D">
        <w:rPr>
          <w:szCs w:val="24"/>
        </w:rPr>
        <w:t>łu. W okresie powojennym odnotowano wiele przykładów kryzysów finans</w:t>
      </w:r>
      <w:r w:rsidRPr="00DA708D">
        <w:rPr>
          <w:szCs w:val="24"/>
        </w:rPr>
        <w:t>o</w:t>
      </w:r>
      <w:r w:rsidRPr="00DA708D">
        <w:rPr>
          <w:szCs w:val="24"/>
        </w:rPr>
        <w:t>wych, które przeniosły się na całą gospodarkę, m. in.: w Hiszpanii w 1977</w:t>
      </w:r>
      <w:r w:rsidR="0028214A">
        <w:rPr>
          <w:szCs w:val="24"/>
        </w:rPr>
        <w:t xml:space="preserve"> r.</w:t>
      </w:r>
      <w:r w:rsidRPr="00DA708D">
        <w:rPr>
          <w:szCs w:val="24"/>
        </w:rPr>
        <w:t>, Norwegii w 1987</w:t>
      </w:r>
      <w:r w:rsidR="0028214A">
        <w:rPr>
          <w:szCs w:val="24"/>
        </w:rPr>
        <w:t xml:space="preserve"> r.</w:t>
      </w:r>
      <w:r w:rsidRPr="00DA708D">
        <w:rPr>
          <w:szCs w:val="24"/>
        </w:rPr>
        <w:t>, w Szwecji w 1991</w:t>
      </w:r>
      <w:r w:rsidR="0028214A">
        <w:rPr>
          <w:szCs w:val="24"/>
        </w:rPr>
        <w:t xml:space="preserve"> r.</w:t>
      </w:r>
      <w:r w:rsidRPr="00DA708D">
        <w:rPr>
          <w:szCs w:val="24"/>
        </w:rPr>
        <w:t>, w Japonii 1992</w:t>
      </w:r>
      <w:r w:rsidR="0028214A">
        <w:rPr>
          <w:szCs w:val="24"/>
        </w:rPr>
        <w:t xml:space="preserve"> r., w Kolumbii w </w:t>
      </w:r>
      <w:r w:rsidRPr="00DA708D">
        <w:rPr>
          <w:szCs w:val="24"/>
        </w:rPr>
        <w:t>1998</w:t>
      </w:r>
      <w:r w:rsidR="0028214A">
        <w:rPr>
          <w:szCs w:val="24"/>
        </w:rPr>
        <w:t xml:space="preserve"> r., w  Azji Południowo-Wschodniej w latach 1997–</w:t>
      </w:r>
      <w:r w:rsidRPr="00DA708D">
        <w:rPr>
          <w:szCs w:val="24"/>
        </w:rPr>
        <w:t>1998, w Argentynie w 2001</w:t>
      </w:r>
      <w:r w:rsidR="0028214A">
        <w:rPr>
          <w:szCs w:val="24"/>
        </w:rPr>
        <w:t xml:space="preserve"> r.</w:t>
      </w:r>
      <w:r w:rsidRPr="00DA708D">
        <w:rPr>
          <w:szCs w:val="24"/>
        </w:rPr>
        <w:t xml:space="preserve"> i ostat</w:t>
      </w:r>
      <w:r w:rsidR="0028214A">
        <w:rPr>
          <w:szCs w:val="24"/>
        </w:rPr>
        <w:t>ni kryzys lat 2007–</w:t>
      </w:r>
      <w:r w:rsidRPr="00DA708D">
        <w:rPr>
          <w:szCs w:val="24"/>
        </w:rPr>
        <w:t xml:space="preserve">2009. Badania przeprowadzone przez S. </w:t>
      </w:r>
      <w:proofErr w:type="spellStart"/>
      <w:r w:rsidRPr="00DA708D">
        <w:rPr>
          <w:szCs w:val="24"/>
        </w:rPr>
        <w:t>Cl</w:t>
      </w:r>
      <w:r w:rsidRPr="00DA708D">
        <w:rPr>
          <w:szCs w:val="24"/>
        </w:rPr>
        <w:t>a</w:t>
      </w:r>
      <w:r w:rsidRPr="00DA708D">
        <w:rPr>
          <w:szCs w:val="24"/>
        </w:rPr>
        <w:t>essensa</w:t>
      </w:r>
      <w:proofErr w:type="spellEnd"/>
      <w:r w:rsidRPr="00DA708D">
        <w:rPr>
          <w:szCs w:val="24"/>
        </w:rPr>
        <w:t xml:space="preserve">, M. A. </w:t>
      </w:r>
      <w:proofErr w:type="spellStart"/>
      <w:r w:rsidRPr="00DA708D">
        <w:rPr>
          <w:szCs w:val="24"/>
        </w:rPr>
        <w:t>Kose</w:t>
      </w:r>
      <w:proofErr w:type="spellEnd"/>
      <w:r w:rsidRPr="00DA708D">
        <w:rPr>
          <w:szCs w:val="24"/>
        </w:rPr>
        <w:t xml:space="preserve"> i M. </w:t>
      </w:r>
      <w:proofErr w:type="spellStart"/>
      <w:r w:rsidRPr="00DA708D">
        <w:rPr>
          <w:szCs w:val="24"/>
        </w:rPr>
        <w:t>Terronesa</w:t>
      </w:r>
      <w:proofErr w:type="spellEnd"/>
      <w:r w:rsidRPr="00DA708D">
        <w:rPr>
          <w:szCs w:val="24"/>
        </w:rPr>
        <w:t xml:space="preserve"> dowodzą, że w okresie powojennym recesje, którym nie towarzyszyły załamania na rynkach finansowych i rynku nieruch</w:t>
      </w:r>
      <w:r w:rsidRPr="00DA708D">
        <w:rPr>
          <w:szCs w:val="24"/>
        </w:rPr>
        <w:t>o</w:t>
      </w:r>
      <w:r w:rsidRPr="00DA708D">
        <w:rPr>
          <w:szCs w:val="24"/>
        </w:rPr>
        <w:t>mości trwały przeciętnie około dwó</w:t>
      </w:r>
      <w:r w:rsidR="00D52901">
        <w:rPr>
          <w:szCs w:val="24"/>
        </w:rPr>
        <w:t>ch lat i towarzyszył im około 2-</w:t>
      </w:r>
      <w:r w:rsidRPr="00DA708D">
        <w:rPr>
          <w:szCs w:val="24"/>
        </w:rPr>
        <w:t>procentowy spadek PKB [</w:t>
      </w:r>
      <w:proofErr w:type="spellStart"/>
      <w:r w:rsidRPr="00DA708D">
        <w:rPr>
          <w:szCs w:val="24"/>
        </w:rPr>
        <w:t>Claessens</w:t>
      </w:r>
      <w:proofErr w:type="spellEnd"/>
      <w:r w:rsidR="0028214A">
        <w:rPr>
          <w:szCs w:val="24"/>
        </w:rPr>
        <w:t xml:space="preserve"> i in.</w:t>
      </w:r>
      <w:r w:rsidRPr="00DA708D">
        <w:rPr>
          <w:szCs w:val="24"/>
        </w:rPr>
        <w:t xml:space="preserve"> 2008]. W przypadku recesji, którym towarzyszą zawirowania na rynkach finansowych połączone z ograniczeniem akcji kred</w:t>
      </w:r>
      <w:r w:rsidRPr="00DA708D">
        <w:rPr>
          <w:szCs w:val="24"/>
        </w:rPr>
        <w:t>y</w:t>
      </w:r>
      <w:r w:rsidRPr="00DA708D">
        <w:rPr>
          <w:szCs w:val="24"/>
        </w:rPr>
        <w:t>towej, kryzysy trwają nieco dłużej, bo około</w:t>
      </w:r>
      <w:r w:rsidR="00D52901">
        <w:rPr>
          <w:szCs w:val="24"/>
        </w:rPr>
        <w:t xml:space="preserve"> 2,5 roku i łączą się z około 3-</w:t>
      </w:r>
      <w:r w:rsidRPr="00DA708D">
        <w:rPr>
          <w:szCs w:val="24"/>
        </w:rPr>
        <w:t>pro</w:t>
      </w:r>
      <w:r w:rsidR="00D52901">
        <w:rPr>
          <w:szCs w:val="24"/>
        </w:rPr>
        <w:t>-</w:t>
      </w:r>
      <w:r w:rsidRPr="00DA708D">
        <w:rPr>
          <w:szCs w:val="24"/>
        </w:rPr>
        <w:t>centowym spadkiem PKB oraz 20</w:t>
      </w:r>
      <w:r w:rsidR="00D52901">
        <w:rPr>
          <w:szCs w:val="24"/>
        </w:rPr>
        <w:t>-</w:t>
      </w:r>
      <w:r w:rsidRPr="00DA708D">
        <w:rPr>
          <w:szCs w:val="24"/>
        </w:rPr>
        <w:t>procentowym spadkiem wartości udziel</w:t>
      </w:r>
      <w:r w:rsidRPr="00DA708D">
        <w:rPr>
          <w:szCs w:val="24"/>
        </w:rPr>
        <w:t>a</w:t>
      </w:r>
      <w:r w:rsidRPr="00DA708D">
        <w:rPr>
          <w:szCs w:val="24"/>
        </w:rPr>
        <w:t>nych kredytów. Najcięższy przebieg mają recesje mające źródło w jednocz</w:t>
      </w:r>
      <w:r w:rsidRPr="00DA708D">
        <w:rPr>
          <w:szCs w:val="24"/>
        </w:rPr>
        <w:t>e</w:t>
      </w:r>
      <w:r w:rsidRPr="00DA708D">
        <w:rPr>
          <w:szCs w:val="24"/>
        </w:rPr>
        <w:t>snym załamaniu na rynku finansowym, rynku nieruchomości i w kryzysie sfery realnej gospodarki. Wówczas recesja trwa</w:t>
      </w:r>
      <w:r w:rsidR="00D52901">
        <w:rPr>
          <w:szCs w:val="24"/>
        </w:rPr>
        <w:t xml:space="preserve"> od</w:t>
      </w:r>
      <w:r w:rsidRPr="00DA708D">
        <w:rPr>
          <w:szCs w:val="24"/>
        </w:rPr>
        <w:t xml:space="preserve"> 4,5 do 6 lat, następuje spadek PKB o ok</w:t>
      </w:r>
      <w:r w:rsidR="0028214A">
        <w:rPr>
          <w:szCs w:val="24"/>
        </w:rPr>
        <w:t>o</w:t>
      </w:r>
      <w:r w:rsidR="0028214A">
        <w:rPr>
          <w:szCs w:val="24"/>
        </w:rPr>
        <w:t>ło 9 </w:t>
      </w:r>
      <w:r w:rsidRPr="00DA708D">
        <w:rPr>
          <w:szCs w:val="24"/>
        </w:rPr>
        <w:t>procent, a c</w:t>
      </w:r>
      <w:r w:rsidR="0028214A">
        <w:rPr>
          <w:szCs w:val="24"/>
        </w:rPr>
        <w:t>eny nieruchomości zniżkują o około</w:t>
      </w:r>
      <w:r w:rsidRPr="00DA708D">
        <w:rPr>
          <w:szCs w:val="24"/>
        </w:rPr>
        <w:t xml:space="preserve"> 30 procent. Notowania na giełdach nurkują o ok</w:t>
      </w:r>
      <w:r w:rsidR="0028214A">
        <w:rPr>
          <w:szCs w:val="24"/>
        </w:rPr>
        <w:t>oło</w:t>
      </w:r>
      <w:r w:rsidRPr="00DA708D">
        <w:rPr>
          <w:szCs w:val="24"/>
        </w:rPr>
        <w:t xml:space="preserve"> 50 procent. Konsekwencją jest drastyczny wzrost stopy bezrobocia (nawet o 7 punktów procentowych) i równie dotkliwe ogran</w:t>
      </w:r>
      <w:r w:rsidRPr="00DA708D">
        <w:rPr>
          <w:szCs w:val="24"/>
        </w:rPr>
        <w:t>i</w:t>
      </w:r>
      <w:r w:rsidRPr="00DA708D">
        <w:rPr>
          <w:szCs w:val="24"/>
        </w:rPr>
        <w:t>czenie produkcji przemysłowej – o ok</w:t>
      </w:r>
      <w:r w:rsidR="0028214A">
        <w:rPr>
          <w:szCs w:val="24"/>
        </w:rPr>
        <w:t>oło</w:t>
      </w:r>
      <w:r w:rsidRPr="00DA708D">
        <w:rPr>
          <w:szCs w:val="24"/>
        </w:rPr>
        <w:t xml:space="preserve"> 9%. Nie mniej istotnym skutkiem głębokiej depresji jest eksplozja długu publicznego.</w:t>
      </w:r>
    </w:p>
    <w:p w:rsidR="00F16B10" w:rsidRPr="00F16B10" w:rsidRDefault="00F16B10" w:rsidP="00DA708D">
      <w:pPr>
        <w:pStyle w:val="FutureTekstpodstawowy"/>
      </w:pPr>
      <w:r w:rsidRPr="00DA708D">
        <w:rPr>
          <w:szCs w:val="24"/>
        </w:rPr>
        <w:t xml:space="preserve">W praktyce w ostatnich kilkudziesięciu latach w gospodarkach rozwiniętych występowały cykliczne wahania koniunktury trwające od 7 do 11 lat. Najlepiej jest to widoczne w przypadku gospodarki amerykańskiej (wykres 1). </w:t>
      </w:r>
      <w:r w:rsidRPr="00DA708D">
        <w:rPr>
          <w:rStyle w:val="Hipercze"/>
          <w:color w:val="auto"/>
          <w:szCs w:val="24"/>
          <w:u w:val="none"/>
        </w:rPr>
        <w:t>Wyraźnie dostrzegamy trzy pełne c</w:t>
      </w:r>
      <w:r w:rsidR="0028214A">
        <w:rPr>
          <w:rStyle w:val="Hipercze"/>
          <w:color w:val="auto"/>
          <w:szCs w:val="24"/>
          <w:u w:val="none"/>
        </w:rPr>
        <w:t>ykle 1982–1991, 1991–2002, 2002–</w:t>
      </w:r>
      <w:r w:rsidRPr="00DA708D">
        <w:rPr>
          <w:rStyle w:val="Hipercze"/>
          <w:color w:val="auto"/>
          <w:szCs w:val="24"/>
          <w:u w:val="none"/>
        </w:rPr>
        <w:t xml:space="preserve">2009. Czas ich trwania zgodny jest z definicją Burnsa i Mitchella [Burns i Mitchell 1946], </w:t>
      </w:r>
      <w:r w:rsidRPr="00DA708D">
        <w:rPr>
          <w:rStyle w:val="Hipercze"/>
          <w:color w:val="auto"/>
          <w:szCs w:val="24"/>
          <w:u w:val="none"/>
        </w:rPr>
        <w:lastRenderedPageBreak/>
        <w:t>a</w:t>
      </w:r>
      <w:r w:rsidR="0028214A">
        <w:rPr>
          <w:rStyle w:val="Hipercze"/>
          <w:color w:val="auto"/>
          <w:szCs w:val="24"/>
          <w:u w:val="none"/>
        </w:rPr>
        <w:t> </w:t>
      </w:r>
      <w:r w:rsidRPr="00DA708D">
        <w:rPr>
          <w:rStyle w:val="Hipercze"/>
          <w:color w:val="auto"/>
          <w:szCs w:val="24"/>
          <w:u w:val="none"/>
        </w:rPr>
        <w:t xml:space="preserve">także pokrywa się </w:t>
      </w:r>
      <w:r w:rsidR="0028214A">
        <w:rPr>
          <w:rStyle w:val="Hipercze"/>
          <w:color w:val="auto"/>
          <w:szCs w:val="24"/>
          <w:u w:val="none"/>
        </w:rPr>
        <w:t xml:space="preserve">z cyklem </w:t>
      </w:r>
      <w:proofErr w:type="spellStart"/>
      <w:r w:rsidR="0028214A">
        <w:rPr>
          <w:rStyle w:val="Hipercze"/>
          <w:color w:val="auto"/>
          <w:szCs w:val="24"/>
          <w:u w:val="none"/>
        </w:rPr>
        <w:t>Juglara</w:t>
      </w:r>
      <w:proofErr w:type="spellEnd"/>
      <w:r w:rsidR="0028214A">
        <w:rPr>
          <w:rStyle w:val="Hipercze"/>
          <w:color w:val="auto"/>
          <w:szCs w:val="24"/>
          <w:u w:val="none"/>
        </w:rPr>
        <w:t>. W latach 80.</w:t>
      </w:r>
      <w:r w:rsidRPr="00DA708D">
        <w:rPr>
          <w:rStyle w:val="Hipercze"/>
          <w:color w:val="auto"/>
          <w:szCs w:val="24"/>
          <w:u w:val="none"/>
        </w:rPr>
        <w:t xml:space="preserve"> i 90</w:t>
      </w:r>
      <w:r w:rsidR="0028214A">
        <w:rPr>
          <w:rStyle w:val="Hipercze"/>
          <w:color w:val="auto"/>
          <w:szCs w:val="24"/>
          <w:u w:val="none"/>
        </w:rPr>
        <w:t>.</w:t>
      </w:r>
      <w:r w:rsidRPr="00DA708D">
        <w:rPr>
          <w:rStyle w:val="Hipercze"/>
          <w:color w:val="auto"/>
          <w:szCs w:val="24"/>
          <w:u w:val="none"/>
        </w:rPr>
        <w:t xml:space="preserve"> dokonała się rewolucja informatyczna i doszło do procesów globalizacji na szeroką skalę. Można zał</w:t>
      </w:r>
      <w:r w:rsidRPr="00DA708D">
        <w:rPr>
          <w:rStyle w:val="Hipercze"/>
          <w:color w:val="auto"/>
          <w:szCs w:val="24"/>
          <w:u w:val="none"/>
        </w:rPr>
        <w:t>o</w:t>
      </w:r>
      <w:r w:rsidRPr="00DA708D">
        <w:rPr>
          <w:rStyle w:val="Hipercze"/>
          <w:color w:val="auto"/>
          <w:szCs w:val="24"/>
          <w:u w:val="none"/>
        </w:rPr>
        <w:t>żyć, że pierwsze dwa cykle (w dużej mierze zgodnie z teorią realnego cyklu koniunkturalnego [</w:t>
      </w:r>
      <w:proofErr w:type="spellStart"/>
      <w:r w:rsidRPr="00DA708D">
        <w:rPr>
          <w:rStyle w:val="Hipercze"/>
          <w:color w:val="auto"/>
          <w:szCs w:val="24"/>
          <w:u w:val="none"/>
        </w:rPr>
        <w:t>Kydland</w:t>
      </w:r>
      <w:proofErr w:type="spellEnd"/>
      <w:r w:rsidRPr="00DA708D">
        <w:rPr>
          <w:rStyle w:val="Hipercze"/>
          <w:color w:val="auto"/>
          <w:szCs w:val="24"/>
          <w:u w:val="none"/>
        </w:rPr>
        <w:t xml:space="preserve"> i Prescott 1982]) wynikały głównie z tych przyczyn. Natomiast ostatni cykl był efektem przede wszystkim ekspansji monetarnej, bańki na rynku nieruchomości (diagnoza austriackiej szkoły cykli koniunktura</w:t>
      </w:r>
      <w:r w:rsidRPr="00DA708D">
        <w:rPr>
          <w:rStyle w:val="Hipercze"/>
          <w:color w:val="auto"/>
          <w:szCs w:val="24"/>
          <w:u w:val="none"/>
        </w:rPr>
        <w:t>l</w:t>
      </w:r>
      <w:r w:rsidRPr="00DA708D">
        <w:rPr>
          <w:rStyle w:val="Hipercze"/>
          <w:color w:val="auto"/>
          <w:szCs w:val="24"/>
          <w:u w:val="none"/>
        </w:rPr>
        <w:t>nych). Stąd też załamanie jakie nastąpiło w latach 200</w:t>
      </w:r>
      <w:r w:rsidR="00DA708D">
        <w:rPr>
          <w:rStyle w:val="Hipercze"/>
          <w:color w:val="auto"/>
          <w:szCs w:val="24"/>
          <w:u w:val="none"/>
        </w:rPr>
        <w:t>7–</w:t>
      </w:r>
      <w:r w:rsidRPr="00DA708D">
        <w:rPr>
          <w:rStyle w:val="Hipercze"/>
          <w:color w:val="auto"/>
          <w:szCs w:val="24"/>
          <w:u w:val="none"/>
        </w:rPr>
        <w:t>2009  było dużo głębsze niż poprzednie</w:t>
      </w:r>
      <w:r w:rsidR="00DA708D" w:rsidRPr="00DA708D">
        <w:rPr>
          <w:rStyle w:val="Hipercze"/>
          <w:color w:val="auto"/>
          <w:szCs w:val="24"/>
          <w:u w:val="none"/>
        </w:rPr>
        <w:t>.</w:t>
      </w:r>
    </w:p>
    <w:p w:rsidR="00F16B10" w:rsidRDefault="00F16B10" w:rsidP="00771FCD">
      <w:pPr>
        <w:pStyle w:val="FutureTekstpodstawowy"/>
      </w:pPr>
    </w:p>
    <w:p w:rsidR="00F16B10" w:rsidRDefault="00A40AB8" w:rsidP="00DA708D">
      <w:pPr>
        <w:pStyle w:val="FutureTekstpodstawowy"/>
        <w:ind w:firstLine="0"/>
        <w:jc w:val="center"/>
      </w:pPr>
      <w:r>
        <w:rPr>
          <w:noProof/>
        </w:rPr>
        <w:drawing>
          <wp:inline distT="0" distB="0" distL="0" distR="0">
            <wp:extent cx="4533900" cy="2066925"/>
            <wp:effectExtent l="19050" t="0" r="0" b="0"/>
            <wp:docPr id="1" name="Obraz 4" descr="C:\Users\Jacek\Desktop\Polityka Pieniężna\PKB 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Jacek\Desktop\Polityka Pieniężna\PKB USA.png"/>
                    <pic:cNvPicPr>
                      <a:picLocks noChangeAspect="1" noChangeArrowheads="1"/>
                    </pic:cNvPicPr>
                  </pic:nvPicPr>
                  <pic:blipFill>
                    <a:blip r:embed="rId8" cstate="print"/>
                    <a:srcRect/>
                    <a:stretch>
                      <a:fillRect/>
                    </a:stretch>
                  </pic:blipFill>
                  <pic:spPr bwMode="auto">
                    <a:xfrm>
                      <a:off x="0" y="0"/>
                      <a:ext cx="4533900" cy="2066925"/>
                    </a:xfrm>
                    <a:prstGeom prst="rect">
                      <a:avLst/>
                    </a:prstGeom>
                    <a:noFill/>
                    <a:ln w="9525">
                      <a:noFill/>
                      <a:miter lim="800000"/>
                      <a:headEnd/>
                      <a:tailEnd/>
                    </a:ln>
                  </pic:spPr>
                </pic:pic>
              </a:graphicData>
            </a:graphic>
          </wp:inline>
        </w:drawing>
      </w:r>
    </w:p>
    <w:p w:rsidR="00DA708D" w:rsidRPr="00785C5C" w:rsidRDefault="00DA708D" w:rsidP="00DA708D">
      <w:pPr>
        <w:pStyle w:val="FutureRysunekTabela"/>
      </w:pPr>
      <w:r>
        <w:t>Wykres</w:t>
      </w:r>
      <w:r w:rsidRPr="00785C5C">
        <w:t xml:space="preserve"> 1. </w:t>
      </w:r>
      <w:r w:rsidRPr="00DA708D">
        <w:t>Roczne tempo wzrostu</w:t>
      </w:r>
      <w:r>
        <w:t xml:space="preserve"> PKB w USA w latach 1980–</w:t>
      </w:r>
      <w:r w:rsidRPr="00DA708D">
        <w:t>2014</w:t>
      </w:r>
    </w:p>
    <w:p w:rsidR="00DA708D" w:rsidRPr="00DA708D" w:rsidRDefault="00DA708D" w:rsidP="00DA708D">
      <w:pPr>
        <w:pStyle w:val="Futurerdo"/>
      </w:pPr>
      <w:r w:rsidRPr="00DA708D">
        <w:t>Źródło: www.tradingeconomics.com</w:t>
      </w:r>
      <w:r>
        <w:t>.</w:t>
      </w:r>
    </w:p>
    <w:p w:rsidR="00F16B10" w:rsidRPr="005F4276" w:rsidRDefault="00F16B10" w:rsidP="00771FCD">
      <w:pPr>
        <w:pStyle w:val="FutureTekstpodstawowy"/>
        <w:rPr>
          <w:sz w:val="28"/>
        </w:rPr>
      </w:pPr>
    </w:p>
    <w:p w:rsidR="00DA708D" w:rsidRDefault="00A40AB8" w:rsidP="00DA708D">
      <w:pPr>
        <w:pStyle w:val="FutureTekstpodstawowy"/>
        <w:ind w:firstLine="0"/>
        <w:jc w:val="center"/>
      </w:pPr>
      <w:r>
        <w:rPr>
          <w:noProof/>
        </w:rPr>
        <w:drawing>
          <wp:inline distT="0" distB="0" distL="0" distR="0">
            <wp:extent cx="4533900" cy="2066925"/>
            <wp:effectExtent l="19050" t="0" r="0" b="0"/>
            <wp:docPr id="3" name="Obraz 16" descr="C:\Users\Jacek\Desktop\Polityka Pieniężna\PKB Pol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C:\Users\Jacek\Desktop\Polityka Pieniężna\PKB Polska.png"/>
                    <pic:cNvPicPr>
                      <a:picLocks noChangeAspect="1" noChangeArrowheads="1"/>
                    </pic:cNvPicPr>
                  </pic:nvPicPr>
                  <pic:blipFill>
                    <a:blip r:embed="rId9" cstate="print"/>
                    <a:srcRect/>
                    <a:stretch>
                      <a:fillRect/>
                    </a:stretch>
                  </pic:blipFill>
                  <pic:spPr bwMode="auto">
                    <a:xfrm>
                      <a:off x="0" y="0"/>
                      <a:ext cx="4533900" cy="2066925"/>
                    </a:xfrm>
                    <a:prstGeom prst="rect">
                      <a:avLst/>
                    </a:prstGeom>
                    <a:noFill/>
                    <a:ln w="9525">
                      <a:noFill/>
                      <a:miter lim="800000"/>
                      <a:headEnd/>
                      <a:tailEnd/>
                    </a:ln>
                  </pic:spPr>
                </pic:pic>
              </a:graphicData>
            </a:graphic>
          </wp:inline>
        </w:drawing>
      </w:r>
    </w:p>
    <w:p w:rsidR="00DA708D" w:rsidRPr="00DA708D" w:rsidRDefault="00DA708D" w:rsidP="00DA708D">
      <w:pPr>
        <w:pStyle w:val="FutureRysunekTabela"/>
      </w:pPr>
      <w:r w:rsidRPr="00DA708D">
        <w:t xml:space="preserve">Wykres 2. </w:t>
      </w:r>
      <w:r w:rsidRPr="00DA708D">
        <w:rPr>
          <w:rStyle w:val="Hipercze"/>
          <w:color w:val="auto"/>
          <w:szCs w:val="24"/>
          <w:u w:val="none"/>
        </w:rPr>
        <w:t>Roczne tempo wzrostu PK</w:t>
      </w:r>
      <w:r>
        <w:rPr>
          <w:rStyle w:val="Hipercze"/>
          <w:color w:val="auto"/>
          <w:szCs w:val="24"/>
          <w:u w:val="none"/>
        </w:rPr>
        <w:t>B w Polsce w latach 1995–</w:t>
      </w:r>
      <w:r w:rsidRPr="00DA708D">
        <w:rPr>
          <w:rStyle w:val="Hipercze"/>
          <w:color w:val="auto"/>
          <w:szCs w:val="24"/>
          <w:u w:val="none"/>
        </w:rPr>
        <w:t>2014</w:t>
      </w:r>
    </w:p>
    <w:p w:rsidR="00DA708D" w:rsidRPr="00DA708D" w:rsidRDefault="00DA708D" w:rsidP="00DA708D">
      <w:pPr>
        <w:pStyle w:val="Futurerdo"/>
      </w:pPr>
      <w:r w:rsidRPr="00DA708D">
        <w:t xml:space="preserve">Źródło: </w:t>
      </w:r>
      <w:r w:rsidR="0028214A">
        <w:t>jak od wykresu 1</w:t>
      </w:r>
      <w:r>
        <w:t>.</w:t>
      </w:r>
    </w:p>
    <w:p w:rsidR="00DA708D" w:rsidRDefault="00DA708D" w:rsidP="00771FCD">
      <w:pPr>
        <w:pStyle w:val="FutureTekstpodstawowy"/>
      </w:pPr>
    </w:p>
    <w:p w:rsidR="00DA708D" w:rsidRPr="005F4276" w:rsidRDefault="005F4276" w:rsidP="005F4276">
      <w:pPr>
        <w:pStyle w:val="FutureTekstpodstawowy"/>
      </w:pPr>
      <w:r w:rsidRPr="005F4276">
        <w:rPr>
          <w:rStyle w:val="Hipercze"/>
          <w:color w:val="auto"/>
          <w:szCs w:val="24"/>
          <w:u w:val="none"/>
        </w:rPr>
        <w:t>W przypadku Polski, ze względu na krótki czas funkcjonowania gospodarki wolnorynkowej (raptem 25 lat) siłą rzeczy okres obserwa</w:t>
      </w:r>
      <w:r>
        <w:rPr>
          <w:rStyle w:val="Hipercze"/>
          <w:color w:val="auto"/>
          <w:szCs w:val="24"/>
          <w:u w:val="none"/>
        </w:rPr>
        <w:t>cji jest niepełny. Z </w:t>
      </w:r>
      <w:r w:rsidRPr="005F4276">
        <w:rPr>
          <w:rStyle w:val="Hipercze"/>
          <w:color w:val="auto"/>
          <w:szCs w:val="24"/>
          <w:u w:val="none"/>
        </w:rPr>
        <w:t>powodu daleko posuniętej globalizacji, otwartości naszej gospodarki i powi</w:t>
      </w:r>
      <w:r w:rsidRPr="005F4276">
        <w:rPr>
          <w:rStyle w:val="Hipercze"/>
          <w:color w:val="auto"/>
          <w:szCs w:val="24"/>
          <w:u w:val="none"/>
        </w:rPr>
        <w:t>ą</w:t>
      </w:r>
      <w:r w:rsidRPr="005F4276">
        <w:rPr>
          <w:rStyle w:val="Hipercze"/>
          <w:color w:val="auto"/>
          <w:szCs w:val="24"/>
          <w:u w:val="none"/>
        </w:rPr>
        <w:t>zań z Unią Europejską, w bardzo dużym stopniu cykle koniunkturalne występ</w:t>
      </w:r>
      <w:r w:rsidRPr="005F4276">
        <w:rPr>
          <w:rStyle w:val="Hipercze"/>
          <w:color w:val="auto"/>
          <w:szCs w:val="24"/>
          <w:u w:val="none"/>
        </w:rPr>
        <w:t>u</w:t>
      </w:r>
      <w:r w:rsidRPr="005F4276">
        <w:rPr>
          <w:rStyle w:val="Hipercze"/>
          <w:color w:val="auto"/>
          <w:szCs w:val="24"/>
          <w:u w:val="none"/>
        </w:rPr>
        <w:t>jące w Polsce pokrywają się z cyklami w krajach rozwiniętych (wykres 2</w:t>
      </w:r>
      <w:r>
        <w:rPr>
          <w:rStyle w:val="Hipercze"/>
          <w:color w:val="auto"/>
          <w:szCs w:val="24"/>
          <w:u w:val="none"/>
        </w:rPr>
        <w:t>). W </w:t>
      </w:r>
      <w:r w:rsidRPr="005F4276">
        <w:rPr>
          <w:rStyle w:val="Hipercze"/>
          <w:color w:val="auto"/>
          <w:szCs w:val="24"/>
          <w:u w:val="none"/>
        </w:rPr>
        <w:t>ro</w:t>
      </w:r>
      <w:r>
        <w:rPr>
          <w:rStyle w:val="Hipercze"/>
          <w:color w:val="auto"/>
          <w:szCs w:val="24"/>
          <w:u w:val="none"/>
        </w:rPr>
        <w:t>ku 2001, jak i w latach 2008–</w:t>
      </w:r>
      <w:r w:rsidRPr="005F4276">
        <w:rPr>
          <w:rStyle w:val="Hipercze"/>
          <w:color w:val="auto"/>
          <w:szCs w:val="24"/>
          <w:u w:val="none"/>
        </w:rPr>
        <w:t>2009 podobnie jak w gospodarce ameryka</w:t>
      </w:r>
      <w:r w:rsidRPr="005F4276">
        <w:rPr>
          <w:rStyle w:val="Hipercze"/>
          <w:color w:val="auto"/>
          <w:szCs w:val="24"/>
          <w:u w:val="none"/>
        </w:rPr>
        <w:t>ń</w:t>
      </w:r>
      <w:r w:rsidRPr="005F4276">
        <w:rPr>
          <w:rStyle w:val="Hipercze"/>
          <w:color w:val="auto"/>
          <w:szCs w:val="24"/>
          <w:u w:val="none"/>
        </w:rPr>
        <w:t>skiej, w gospodarce polskiej też wystąpiły kryzysy.</w:t>
      </w:r>
    </w:p>
    <w:p w:rsidR="005F4276" w:rsidRPr="005F4276" w:rsidRDefault="005F4276" w:rsidP="005F4276">
      <w:pPr>
        <w:pStyle w:val="FutureTyturozdziau"/>
      </w:pPr>
      <w:r w:rsidRPr="005F4276">
        <w:t>2. </w:t>
      </w:r>
      <w:r w:rsidRPr="005F4276">
        <w:rPr>
          <w:rStyle w:val="Hipercze"/>
          <w:color w:val="auto"/>
          <w:szCs w:val="24"/>
          <w:u w:val="none"/>
        </w:rPr>
        <w:t xml:space="preserve">Z DOŚWIADCZEŃ WPŁYWU POLITYKI PIENIĘŻNEJ NA RYNKI FINANSOWE </w:t>
      </w:r>
      <w:r>
        <w:rPr>
          <w:rStyle w:val="Hipercze"/>
          <w:color w:val="auto"/>
          <w:szCs w:val="24"/>
          <w:u w:val="none"/>
        </w:rPr>
        <w:t xml:space="preserve">           </w:t>
      </w:r>
      <w:r w:rsidRPr="005F4276">
        <w:rPr>
          <w:rStyle w:val="Hipercze"/>
          <w:color w:val="auto"/>
          <w:szCs w:val="24"/>
          <w:u w:val="none"/>
        </w:rPr>
        <w:t>– ODPOWIEDŹ FED NA ZAŁAMANIE</w:t>
      </w:r>
      <w:r>
        <w:rPr>
          <w:rStyle w:val="Hipercze"/>
          <w:color w:val="auto"/>
          <w:szCs w:val="24"/>
          <w:u w:val="none"/>
        </w:rPr>
        <w:t xml:space="preserve"> LAT 2007</w:t>
      </w:r>
      <w:r w:rsidRPr="005F4276">
        <w:t>–</w:t>
      </w:r>
      <w:r w:rsidRPr="005F4276">
        <w:rPr>
          <w:rStyle w:val="Hipercze"/>
          <w:color w:val="auto"/>
          <w:szCs w:val="24"/>
          <w:u w:val="none"/>
        </w:rPr>
        <w:t>2009</w:t>
      </w:r>
    </w:p>
    <w:p w:rsidR="005F4276" w:rsidRPr="0083554F" w:rsidRDefault="005F4276" w:rsidP="005F4276">
      <w:pPr>
        <w:pStyle w:val="FutureTekstpodstawowy"/>
      </w:pPr>
      <w:r>
        <w:t>Banki centralne, regulując podaż pieniądza wpływają na notowania instr</w:t>
      </w:r>
      <w:r>
        <w:t>u</w:t>
      </w:r>
      <w:r>
        <w:t>mentów finansowych. W uproszczeniu można powiedzieć, że ekspansywna pol</w:t>
      </w:r>
      <w:r>
        <w:t>i</w:t>
      </w:r>
      <w:r>
        <w:t>tyka monetarna sprzyja wzrostom cen akcji, obligacji, nieruchomości i suro</w:t>
      </w:r>
      <w:r>
        <w:t>w</w:t>
      </w:r>
      <w:r>
        <w:t>ców, a także osłabia krajową walutę. Z kolei polityka restrykcyjna hamuje zwyżki wycen aktywów, a często przyczynia się do ich spadków. Umacnia ró</w:t>
      </w:r>
      <w:r>
        <w:t>w</w:t>
      </w:r>
      <w:r>
        <w:t>nież rodzimą walutę. Szczególnie teraz, kiedy dynamika zmian na rynkach f</w:t>
      </w:r>
      <w:r>
        <w:t>i</w:t>
      </w:r>
      <w:r>
        <w:t>nansowych, jak i w koncepcjach prowadzenia polityki pieniężnej jest tak duża, warto przyjrzeć się tym korelacjom.</w:t>
      </w:r>
    </w:p>
    <w:p w:rsidR="005F4276" w:rsidRPr="005F4276" w:rsidRDefault="005F4276" w:rsidP="005F4276">
      <w:pPr>
        <w:pStyle w:val="FutureTekstpodstawowy"/>
        <w:rPr>
          <w:spacing w:val="-2"/>
        </w:rPr>
      </w:pPr>
      <w:r w:rsidRPr="005F4276">
        <w:rPr>
          <w:spacing w:val="-2"/>
        </w:rPr>
        <w:t>W początkowej fazie kryzysu FED stosował konwencjonalne instrumenty p</w:t>
      </w:r>
      <w:r w:rsidRPr="005F4276">
        <w:rPr>
          <w:spacing w:val="-2"/>
        </w:rPr>
        <w:t>o</w:t>
      </w:r>
      <w:r w:rsidRPr="005F4276">
        <w:rPr>
          <w:spacing w:val="-2"/>
        </w:rPr>
        <w:t>lityki pieniężnej. W sierpniu 2007 r. rozpoczął serię obniżek stóp procentowych. Jednocześnie wdrożył nadzwyczajne programy pożyczkowe – FRLF (</w:t>
      </w:r>
      <w:r w:rsidRPr="005F4276">
        <w:rPr>
          <w:i/>
          <w:spacing w:val="-2"/>
        </w:rPr>
        <w:t xml:space="preserve">Federal </w:t>
      </w:r>
      <w:proofErr w:type="spellStart"/>
      <w:r w:rsidRPr="005F4276">
        <w:rPr>
          <w:i/>
          <w:spacing w:val="-2"/>
        </w:rPr>
        <w:t>Reserve</w:t>
      </w:r>
      <w:proofErr w:type="spellEnd"/>
      <w:r w:rsidRPr="005F4276">
        <w:rPr>
          <w:i/>
          <w:spacing w:val="-2"/>
        </w:rPr>
        <w:t xml:space="preserve"> </w:t>
      </w:r>
      <w:proofErr w:type="spellStart"/>
      <w:r w:rsidRPr="005F4276">
        <w:rPr>
          <w:i/>
          <w:spacing w:val="-2"/>
        </w:rPr>
        <w:t>Liquidity</w:t>
      </w:r>
      <w:proofErr w:type="spellEnd"/>
      <w:r w:rsidRPr="005F4276">
        <w:rPr>
          <w:i/>
          <w:spacing w:val="-2"/>
        </w:rPr>
        <w:t xml:space="preserve"> </w:t>
      </w:r>
      <w:proofErr w:type="spellStart"/>
      <w:r w:rsidRPr="005F4276">
        <w:rPr>
          <w:i/>
          <w:spacing w:val="-2"/>
        </w:rPr>
        <w:t>Facility</w:t>
      </w:r>
      <w:proofErr w:type="spellEnd"/>
      <w:r w:rsidRPr="005F4276">
        <w:rPr>
          <w:spacing w:val="-2"/>
        </w:rPr>
        <w:t>). Programy te pomogły czasowo niepłynnym podmi</w:t>
      </w:r>
      <w:r w:rsidRPr="005F4276">
        <w:rPr>
          <w:spacing w:val="-2"/>
        </w:rPr>
        <w:t>o</w:t>
      </w:r>
      <w:r w:rsidRPr="005F4276">
        <w:rPr>
          <w:spacing w:val="-2"/>
        </w:rPr>
        <w:t>tom o zdrowych fundamentach finansowych uzyskać finansowanie bieżącej dzi</w:t>
      </w:r>
      <w:r w:rsidRPr="005F4276">
        <w:rPr>
          <w:spacing w:val="-2"/>
        </w:rPr>
        <w:t>a</w:t>
      </w:r>
      <w:r w:rsidRPr="005F4276">
        <w:rPr>
          <w:spacing w:val="-2"/>
        </w:rPr>
        <w:t>łalności operacyjnej [</w:t>
      </w:r>
      <w:proofErr w:type="spellStart"/>
      <w:r w:rsidRPr="005F4276">
        <w:rPr>
          <w:spacing w:val="-2"/>
        </w:rPr>
        <w:t>Willardson</w:t>
      </w:r>
      <w:proofErr w:type="spellEnd"/>
      <w:r w:rsidRPr="005F4276">
        <w:rPr>
          <w:spacing w:val="-2"/>
        </w:rPr>
        <w:t xml:space="preserve"> 2010: 15]. Zasadniczym ich celem było zatrz</w:t>
      </w:r>
      <w:r w:rsidRPr="005F4276">
        <w:rPr>
          <w:spacing w:val="-2"/>
        </w:rPr>
        <w:t>y</w:t>
      </w:r>
      <w:r w:rsidRPr="005F4276">
        <w:rPr>
          <w:spacing w:val="-2"/>
        </w:rPr>
        <w:t>manie masowej wyprzedaży aktywów i dalszego rozprzestrzeniania się kryzysu, skutkiem czego mogło być załamanie całego systemu finansowego. Bank centra</w:t>
      </w:r>
      <w:r w:rsidRPr="005F4276">
        <w:rPr>
          <w:spacing w:val="-2"/>
        </w:rPr>
        <w:t>l</w:t>
      </w:r>
      <w:r w:rsidRPr="005F4276">
        <w:rPr>
          <w:spacing w:val="-2"/>
        </w:rPr>
        <w:t>ny wypełniał w ten sposób funkcję pożyczkodawcy ostatniej instancji.</w:t>
      </w:r>
    </w:p>
    <w:p w:rsidR="005F4276" w:rsidRDefault="005F4276" w:rsidP="005F4276">
      <w:pPr>
        <w:pStyle w:val="FutureTekstpodstawowy"/>
      </w:pPr>
      <w:r>
        <w:t>Od 18 sierpnia 2007 r. do 18 marca 2009 r. poziom głównej stopy proce</w:t>
      </w:r>
      <w:r>
        <w:t>n</w:t>
      </w:r>
      <w:r>
        <w:t>towej został obniżony z 5,25% do zaledwie 0,25%. Tak energiczne i głębokie cięcia odbiły się na notowaniach amerykańskich obligacji. Rentowności oblig</w:t>
      </w:r>
      <w:r>
        <w:t>a</w:t>
      </w:r>
      <w:r>
        <w:t>cji dziesięcioletnich w ciągu ok</w:t>
      </w:r>
      <w:r w:rsidR="00D52901">
        <w:t>oło</w:t>
      </w:r>
      <w:r>
        <w:t xml:space="preserve"> 16 miesięcy od pierwszej obniżki stóp spadły z ponad 5% do zaledwie 2%. Minimum rentowności przypadło na połowę 2012 r. i wyniosło 1,4% (wykres 3).</w:t>
      </w:r>
    </w:p>
    <w:p w:rsidR="005F4276" w:rsidRDefault="005F4276" w:rsidP="005F4276">
      <w:pPr>
        <w:pStyle w:val="FutureTekstpodstawowy"/>
        <w:rPr>
          <w:szCs w:val="24"/>
        </w:rPr>
      </w:pPr>
      <w:r w:rsidRPr="005F4276">
        <w:rPr>
          <w:szCs w:val="24"/>
        </w:rPr>
        <w:t>Jednakże najbardziej spektakularnym efektem owych działań był gwałto</w:t>
      </w:r>
      <w:r w:rsidRPr="005F4276">
        <w:rPr>
          <w:szCs w:val="24"/>
        </w:rPr>
        <w:t>w</w:t>
      </w:r>
      <w:r w:rsidRPr="005F4276">
        <w:rPr>
          <w:szCs w:val="24"/>
        </w:rPr>
        <w:t>ny wzrost cen surowców. Pomimo że na giełdach, po wcześniejszej dynamic</w:t>
      </w:r>
      <w:r w:rsidRPr="005F4276">
        <w:rPr>
          <w:szCs w:val="24"/>
        </w:rPr>
        <w:t>z</w:t>
      </w:r>
      <w:r w:rsidRPr="005F4276">
        <w:rPr>
          <w:szCs w:val="24"/>
        </w:rPr>
        <w:t>nej hossie rozpoczynał się trend spadkowy, notowania ropy naftowej, platyny, pa</w:t>
      </w:r>
      <w:r w:rsidRPr="005F4276">
        <w:rPr>
          <w:szCs w:val="24"/>
        </w:rPr>
        <w:t>l</w:t>
      </w:r>
      <w:r w:rsidRPr="005F4276">
        <w:rPr>
          <w:szCs w:val="24"/>
        </w:rPr>
        <w:t>ladu czy złota poszybowały w górę (wykres 4). O ile notowania złota mają zn</w:t>
      </w:r>
      <w:r w:rsidRPr="005F4276">
        <w:rPr>
          <w:szCs w:val="24"/>
        </w:rPr>
        <w:t>i</w:t>
      </w:r>
      <w:r w:rsidRPr="005F4276">
        <w:rPr>
          <w:szCs w:val="24"/>
        </w:rPr>
        <w:t>komy wpływ na gospodarkę, o tyle ceny metali</w:t>
      </w:r>
      <w:r w:rsidR="00D52901">
        <w:rPr>
          <w:szCs w:val="24"/>
        </w:rPr>
        <w:t>, a szczególnie ropy naftowej w </w:t>
      </w:r>
      <w:r w:rsidRPr="005F4276">
        <w:rPr>
          <w:szCs w:val="24"/>
        </w:rPr>
        <w:t>bardzo dużym stopniu oddziałują na koniunkturę. Ich wysokie wyceny pod k</w:t>
      </w:r>
      <w:r w:rsidRPr="005F4276">
        <w:rPr>
          <w:szCs w:val="24"/>
        </w:rPr>
        <w:t>o</w:t>
      </w:r>
      <w:r w:rsidRPr="005F4276">
        <w:rPr>
          <w:szCs w:val="24"/>
        </w:rPr>
        <w:t>niec 2007 i w pierwszej połowie 2008 r</w:t>
      </w:r>
      <w:r w:rsidR="00D52901">
        <w:rPr>
          <w:szCs w:val="24"/>
        </w:rPr>
        <w:t>.</w:t>
      </w:r>
      <w:r w:rsidRPr="005F4276">
        <w:rPr>
          <w:szCs w:val="24"/>
        </w:rPr>
        <w:t xml:space="preserve"> bez wątpienia przyczyniły się do pogo</w:t>
      </w:r>
      <w:r w:rsidRPr="005F4276">
        <w:rPr>
          <w:szCs w:val="24"/>
        </w:rPr>
        <w:t>r</w:t>
      </w:r>
      <w:r w:rsidRPr="005F4276">
        <w:rPr>
          <w:szCs w:val="24"/>
        </w:rPr>
        <w:t>szenia sytuacji ekonomicznej, również w Stanach Zjednoczonych. Stąd wielu ekonomistów krytykuje ówczesne działania FED [Taylor 2010: 50</w:t>
      </w:r>
      <w:r w:rsidR="0028214A">
        <w:rPr>
          <w:szCs w:val="24"/>
        </w:rPr>
        <w:t>–</w:t>
      </w:r>
      <w:r w:rsidRPr="005F4276">
        <w:rPr>
          <w:szCs w:val="24"/>
        </w:rPr>
        <w:t>51], stawi</w:t>
      </w:r>
      <w:r w:rsidRPr="005F4276">
        <w:rPr>
          <w:szCs w:val="24"/>
        </w:rPr>
        <w:t>a</w:t>
      </w:r>
      <w:r w:rsidRPr="005F4276">
        <w:rPr>
          <w:szCs w:val="24"/>
        </w:rPr>
        <w:t>jąc zarzut, że ich skutkiem była gwałtowna spekulacja na rynku surowców (ropa podrożała do lipca 2008 r. o 100%).</w:t>
      </w:r>
    </w:p>
    <w:p w:rsidR="005F4276" w:rsidRDefault="005F4276" w:rsidP="005F4276">
      <w:pPr>
        <w:pStyle w:val="FutureTekstpodstawowy"/>
      </w:pPr>
    </w:p>
    <w:p w:rsidR="005F4276" w:rsidRDefault="00A40AB8" w:rsidP="005F4276">
      <w:pPr>
        <w:pStyle w:val="FutureTekstpodstawowy"/>
        <w:ind w:firstLine="0"/>
        <w:jc w:val="center"/>
        <w:rPr>
          <w:sz w:val="24"/>
          <w:szCs w:val="24"/>
        </w:rPr>
      </w:pPr>
      <w:r>
        <w:rPr>
          <w:noProof/>
          <w:sz w:val="24"/>
          <w:szCs w:val="24"/>
        </w:rPr>
        <w:drawing>
          <wp:inline distT="0" distB="0" distL="0" distR="0">
            <wp:extent cx="4143375" cy="2581275"/>
            <wp:effectExtent l="19050" t="0" r="9525" b="0"/>
            <wp:docPr id="5" name="Obraz 38" descr="C:\Users\Jacek\Desktop\10usy_b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descr="C:\Users\Jacek\Desktop\10usy_b_w.png"/>
                    <pic:cNvPicPr>
                      <a:picLocks noChangeAspect="1" noChangeArrowheads="1"/>
                    </pic:cNvPicPr>
                  </pic:nvPicPr>
                  <pic:blipFill>
                    <a:blip r:embed="rId10" cstate="print"/>
                    <a:srcRect/>
                    <a:stretch>
                      <a:fillRect/>
                    </a:stretch>
                  </pic:blipFill>
                  <pic:spPr bwMode="auto">
                    <a:xfrm>
                      <a:off x="0" y="0"/>
                      <a:ext cx="4143375" cy="2581275"/>
                    </a:xfrm>
                    <a:prstGeom prst="rect">
                      <a:avLst/>
                    </a:prstGeom>
                    <a:noFill/>
                    <a:ln w="9525">
                      <a:noFill/>
                      <a:miter lim="800000"/>
                      <a:headEnd/>
                      <a:tailEnd/>
                    </a:ln>
                  </pic:spPr>
                </pic:pic>
              </a:graphicData>
            </a:graphic>
          </wp:inline>
        </w:drawing>
      </w:r>
    </w:p>
    <w:p w:rsidR="005F4276" w:rsidRPr="00DA708D" w:rsidRDefault="005F4276" w:rsidP="005F4276">
      <w:pPr>
        <w:pStyle w:val="FutureRysunekTabela"/>
      </w:pPr>
      <w:r w:rsidRPr="00DA708D">
        <w:rPr>
          <w:szCs w:val="24"/>
        </w:rPr>
        <w:t xml:space="preserve"> </w:t>
      </w:r>
      <w:r w:rsidRPr="00DA708D">
        <w:t xml:space="preserve">Wykres </w:t>
      </w:r>
      <w:r>
        <w:t>3</w:t>
      </w:r>
      <w:r w:rsidRPr="00DA708D">
        <w:t xml:space="preserve">. </w:t>
      </w:r>
      <w:r>
        <w:rPr>
          <w:szCs w:val="24"/>
        </w:rPr>
        <w:t>Rentowności 10-</w:t>
      </w:r>
      <w:r w:rsidRPr="005F4276">
        <w:rPr>
          <w:szCs w:val="24"/>
        </w:rPr>
        <w:t>letnich obligacji USA między 2007 a 2013 r</w:t>
      </w:r>
      <w:r>
        <w:rPr>
          <w:szCs w:val="24"/>
        </w:rPr>
        <w:t>.</w:t>
      </w:r>
    </w:p>
    <w:p w:rsidR="005F4276" w:rsidRPr="005F4276" w:rsidRDefault="005F4276" w:rsidP="005F4276">
      <w:pPr>
        <w:pStyle w:val="Futurerdo"/>
      </w:pPr>
      <w:r w:rsidRPr="005F4276">
        <w:t xml:space="preserve">Źródło: </w:t>
      </w:r>
      <w:hyperlink r:id="rId11" w:history="1">
        <w:r w:rsidRPr="005F4276">
          <w:rPr>
            <w:rStyle w:val="Hipercze"/>
            <w:color w:val="auto"/>
            <w:szCs w:val="20"/>
            <w:u w:val="none"/>
          </w:rPr>
          <w:t>stooq.</w:t>
        </w:r>
      </w:hyperlink>
      <w:r w:rsidRPr="005F4276">
        <w:rPr>
          <w:rStyle w:val="Hipercze"/>
          <w:color w:val="auto"/>
          <w:szCs w:val="20"/>
          <w:u w:val="none"/>
        </w:rPr>
        <w:t xml:space="preserve">pl, </w:t>
      </w:r>
      <w:r>
        <w:rPr>
          <w:rStyle w:val="Hipercze"/>
          <w:color w:val="auto"/>
          <w:szCs w:val="20"/>
          <w:u w:val="none"/>
        </w:rPr>
        <w:t>dostęp: 22.08.</w:t>
      </w:r>
      <w:r w:rsidRPr="005F4276">
        <w:rPr>
          <w:rStyle w:val="Hipercze"/>
          <w:color w:val="auto"/>
          <w:szCs w:val="20"/>
          <w:u w:val="none"/>
        </w:rPr>
        <w:t>2014</w:t>
      </w:r>
      <w:r w:rsidRPr="005F4276">
        <w:t>.</w:t>
      </w:r>
    </w:p>
    <w:p w:rsidR="005F4276" w:rsidRPr="005F4276" w:rsidRDefault="005F4276" w:rsidP="005F4276">
      <w:pPr>
        <w:pStyle w:val="FutureTekstpodstawowy"/>
        <w:rPr>
          <w:sz w:val="24"/>
          <w:szCs w:val="24"/>
        </w:rPr>
      </w:pPr>
    </w:p>
    <w:p w:rsidR="005F4276" w:rsidRDefault="00A40AB8" w:rsidP="005F4276">
      <w:pPr>
        <w:pStyle w:val="FutureTekstpodstawowy"/>
        <w:ind w:firstLine="0"/>
        <w:jc w:val="center"/>
        <w:rPr>
          <w:sz w:val="32"/>
          <w:szCs w:val="24"/>
        </w:rPr>
      </w:pPr>
      <w:r>
        <w:rPr>
          <w:noProof/>
          <w:sz w:val="32"/>
          <w:szCs w:val="24"/>
        </w:rPr>
        <w:drawing>
          <wp:inline distT="0" distB="0" distL="0" distR="0">
            <wp:extent cx="4143375" cy="2581275"/>
            <wp:effectExtent l="19050" t="0" r="9525" b="0"/>
            <wp:docPr id="7" name="Obraz 28" descr="C:\Users\Jacek\Desktop\cl_f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C:\Users\Jacek\Desktop\cl_f_w.png"/>
                    <pic:cNvPicPr>
                      <a:picLocks noChangeAspect="1" noChangeArrowheads="1"/>
                    </pic:cNvPicPr>
                  </pic:nvPicPr>
                  <pic:blipFill>
                    <a:blip r:embed="rId12" cstate="print"/>
                    <a:srcRect/>
                    <a:stretch>
                      <a:fillRect/>
                    </a:stretch>
                  </pic:blipFill>
                  <pic:spPr bwMode="auto">
                    <a:xfrm>
                      <a:off x="0" y="0"/>
                      <a:ext cx="4143375" cy="2581275"/>
                    </a:xfrm>
                    <a:prstGeom prst="rect">
                      <a:avLst/>
                    </a:prstGeom>
                    <a:noFill/>
                    <a:ln w="9525">
                      <a:noFill/>
                      <a:miter lim="800000"/>
                      <a:headEnd/>
                      <a:tailEnd/>
                    </a:ln>
                  </pic:spPr>
                </pic:pic>
              </a:graphicData>
            </a:graphic>
          </wp:inline>
        </w:drawing>
      </w:r>
    </w:p>
    <w:p w:rsidR="005F4276" w:rsidRPr="00DA708D" w:rsidRDefault="005F4276" w:rsidP="005F4276">
      <w:pPr>
        <w:pStyle w:val="FutureRysunekTabela"/>
      </w:pPr>
      <w:r w:rsidRPr="00DA708D">
        <w:t xml:space="preserve">Wykres </w:t>
      </w:r>
      <w:r>
        <w:t>4</w:t>
      </w:r>
      <w:r w:rsidRPr="00DA708D">
        <w:t xml:space="preserve">. </w:t>
      </w:r>
      <w:r w:rsidRPr="005F4276">
        <w:rPr>
          <w:szCs w:val="24"/>
        </w:rPr>
        <w:t>Notowania ropy</w:t>
      </w:r>
      <w:r>
        <w:rPr>
          <w:szCs w:val="24"/>
        </w:rPr>
        <w:t xml:space="preserve"> naftowej w okresie 2007–</w:t>
      </w:r>
      <w:r w:rsidRPr="005F4276">
        <w:rPr>
          <w:szCs w:val="24"/>
        </w:rPr>
        <w:t>2010</w:t>
      </w:r>
    </w:p>
    <w:p w:rsidR="005F4276" w:rsidRPr="005F4276" w:rsidRDefault="005F4276" w:rsidP="005F4276">
      <w:pPr>
        <w:pStyle w:val="Futurerdo"/>
      </w:pPr>
      <w:r w:rsidRPr="005F4276">
        <w:t xml:space="preserve">Źródło: </w:t>
      </w:r>
      <w:r w:rsidR="0028214A">
        <w:t>jak do wykresu 3</w:t>
      </w:r>
      <w:r w:rsidRPr="005F4276">
        <w:t>.</w:t>
      </w:r>
    </w:p>
    <w:p w:rsidR="005F4276" w:rsidRDefault="005F4276" w:rsidP="005F4276">
      <w:pPr>
        <w:pStyle w:val="FutureTekstpodstawowy"/>
        <w:rPr>
          <w:rStyle w:val="Hipercze"/>
          <w:color w:val="auto"/>
          <w:szCs w:val="24"/>
          <w:u w:val="none"/>
        </w:rPr>
      </w:pPr>
      <w:r w:rsidRPr="005F4276">
        <w:rPr>
          <w:rStyle w:val="Hipercze"/>
          <w:color w:val="auto"/>
          <w:szCs w:val="24"/>
          <w:u w:val="none"/>
        </w:rPr>
        <w:t xml:space="preserve">Dopiero w połowie 2008 r., kiedy było już jasne, że świat stoi na krawędzi </w:t>
      </w:r>
      <w:r w:rsidRPr="00D52901">
        <w:rPr>
          <w:rStyle w:val="Hipercze"/>
          <w:color w:val="auto"/>
          <w:spacing w:val="-1"/>
          <w:szCs w:val="24"/>
          <w:u w:val="none"/>
        </w:rPr>
        <w:t>głębokiego kryzysu, a nie łagodnego spowolnienia</w:t>
      </w:r>
      <w:r w:rsidR="00D52901" w:rsidRPr="00D52901">
        <w:rPr>
          <w:rStyle w:val="Hipercze"/>
          <w:color w:val="auto"/>
          <w:spacing w:val="-1"/>
          <w:szCs w:val="24"/>
          <w:u w:val="none"/>
        </w:rPr>
        <w:t>,</w:t>
      </w:r>
      <w:r w:rsidRPr="00D52901">
        <w:rPr>
          <w:rStyle w:val="Hipercze"/>
          <w:color w:val="auto"/>
          <w:spacing w:val="-1"/>
          <w:szCs w:val="24"/>
          <w:u w:val="none"/>
        </w:rPr>
        <w:t xml:space="preserve"> ceny surowców runęły w dół</w:t>
      </w:r>
      <w:r w:rsidRPr="005F4276">
        <w:rPr>
          <w:rStyle w:val="Hipercze"/>
          <w:color w:val="auto"/>
          <w:szCs w:val="24"/>
          <w:u w:val="none"/>
        </w:rPr>
        <w:t>, dołączając do głębokich przecen na rynkach akcji i nieruchomości. Ropa naft</w:t>
      </w:r>
      <w:r w:rsidRPr="005F4276">
        <w:rPr>
          <w:rStyle w:val="Hipercze"/>
          <w:color w:val="auto"/>
          <w:szCs w:val="24"/>
          <w:u w:val="none"/>
        </w:rPr>
        <w:t>o</w:t>
      </w:r>
      <w:r w:rsidRPr="005F4276">
        <w:rPr>
          <w:rStyle w:val="Hipercze"/>
          <w:color w:val="auto"/>
          <w:szCs w:val="24"/>
          <w:u w:val="none"/>
        </w:rPr>
        <w:t>wa, między lipcem 2008 r. a styczniem 2009 r. potaniała z ponad 140 dol</w:t>
      </w:r>
      <w:r w:rsidRPr="005F4276">
        <w:rPr>
          <w:rStyle w:val="Hipercze"/>
          <w:color w:val="auto"/>
          <w:szCs w:val="24"/>
          <w:u w:val="none"/>
        </w:rPr>
        <w:t>a</w:t>
      </w:r>
      <w:r w:rsidRPr="005F4276">
        <w:rPr>
          <w:rStyle w:val="Hipercze"/>
          <w:color w:val="auto"/>
          <w:szCs w:val="24"/>
          <w:u w:val="none"/>
        </w:rPr>
        <w:t>rów do 35 dolarów. Podobne  zniżki były udziałem innych surowców. Cena platyny spadła z 2200 do 770 dolarów, a miedzi z 400 dolarów do 130. Nie lepiej w</w:t>
      </w:r>
      <w:r w:rsidRPr="005F4276">
        <w:rPr>
          <w:rStyle w:val="Hipercze"/>
          <w:color w:val="auto"/>
          <w:szCs w:val="24"/>
          <w:u w:val="none"/>
        </w:rPr>
        <w:t>y</w:t>
      </w:r>
      <w:r w:rsidRPr="005F4276">
        <w:rPr>
          <w:rStyle w:val="Hipercze"/>
          <w:color w:val="auto"/>
          <w:szCs w:val="24"/>
          <w:u w:val="none"/>
        </w:rPr>
        <w:t xml:space="preserve">glądała sytuacja na rynkach akcji. Amerykański </w:t>
      </w:r>
      <w:proofErr w:type="spellStart"/>
      <w:r w:rsidRPr="005F4276">
        <w:rPr>
          <w:rStyle w:val="Hipercze"/>
          <w:color w:val="auto"/>
          <w:szCs w:val="24"/>
          <w:u w:val="none"/>
        </w:rPr>
        <w:t>S&amp;P</w:t>
      </w:r>
      <w:proofErr w:type="spellEnd"/>
      <w:r w:rsidRPr="005F4276">
        <w:rPr>
          <w:rStyle w:val="Hipercze"/>
          <w:color w:val="auto"/>
          <w:szCs w:val="24"/>
          <w:u w:val="none"/>
        </w:rPr>
        <w:t xml:space="preserve"> 500 osunął się z poziomu 1560 </w:t>
      </w:r>
      <w:proofErr w:type="spellStart"/>
      <w:r w:rsidRPr="005F4276">
        <w:rPr>
          <w:rStyle w:val="Hipercze"/>
          <w:color w:val="auto"/>
          <w:szCs w:val="24"/>
          <w:u w:val="none"/>
        </w:rPr>
        <w:t>pkt</w:t>
      </w:r>
      <w:proofErr w:type="spellEnd"/>
      <w:r w:rsidRPr="005F4276">
        <w:rPr>
          <w:rStyle w:val="Hipercze"/>
          <w:color w:val="auto"/>
          <w:szCs w:val="24"/>
          <w:u w:val="none"/>
        </w:rPr>
        <w:t xml:space="preserve"> w październiku 2007 r. do 670 </w:t>
      </w:r>
      <w:proofErr w:type="spellStart"/>
      <w:r w:rsidRPr="005F4276">
        <w:rPr>
          <w:rStyle w:val="Hipercze"/>
          <w:color w:val="auto"/>
          <w:szCs w:val="24"/>
          <w:u w:val="none"/>
        </w:rPr>
        <w:t>pkt</w:t>
      </w:r>
      <w:proofErr w:type="spellEnd"/>
      <w:r w:rsidRPr="005F4276">
        <w:rPr>
          <w:rStyle w:val="Hipercze"/>
          <w:color w:val="auto"/>
          <w:szCs w:val="24"/>
          <w:u w:val="none"/>
        </w:rPr>
        <w:t xml:space="preserve"> na początku marca 2009 r., a ni</w:t>
      </w:r>
      <w:r w:rsidRPr="005F4276">
        <w:rPr>
          <w:rStyle w:val="Hipercze"/>
          <w:color w:val="auto"/>
          <w:szCs w:val="24"/>
          <w:u w:val="none"/>
        </w:rPr>
        <w:t>e</w:t>
      </w:r>
      <w:r w:rsidRPr="005F4276">
        <w:rPr>
          <w:rStyle w:val="Hipercze"/>
          <w:color w:val="auto"/>
          <w:szCs w:val="24"/>
          <w:u w:val="none"/>
        </w:rPr>
        <w:t xml:space="preserve">miecki DAX z 8000 </w:t>
      </w:r>
      <w:proofErr w:type="spellStart"/>
      <w:r w:rsidRPr="005F4276">
        <w:rPr>
          <w:rStyle w:val="Hipercze"/>
          <w:color w:val="auto"/>
          <w:szCs w:val="24"/>
          <w:u w:val="none"/>
        </w:rPr>
        <w:t>pkt</w:t>
      </w:r>
      <w:proofErr w:type="spellEnd"/>
      <w:r w:rsidRPr="005F4276">
        <w:rPr>
          <w:rStyle w:val="Hipercze"/>
          <w:color w:val="auto"/>
          <w:szCs w:val="24"/>
          <w:u w:val="none"/>
        </w:rPr>
        <w:t xml:space="preserve"> do 3600 pkt</w:t>
      </w:r>
      <w:r>
        <w:rPr>
          <w:rStyle w:val="Hipercze"/>
          <w:color w:val="auto"/>
          <w:szCs w:val="24"/>
          <w:u w:val="none"/>
        </w:rPr>
        <w:t>.</w:t>
      </w:r>
    </w:p>
    <w:p w:rsidR="005F4276" w:rsidRPr="005F4276" w:rsidRDefault="005F4276" w:rsidP="005F4276">
      <w:pPr>
        <w:pStyle w:val="FutureTekstpodstawowy"/>
        <w:rPr>
          <w:rStyle w:val="TekstprzypisudolnegoZnak"/>
          <w:szCs w:val="24"/>
        </w:rPr>
      </w:pPr>
      <w:r w:rsidRPr="005F4276">
        <w:rPr>
          <w:szCs w:val="24"/>
        </w:rPr>
        <w:t>W ostatnich miesiącach 2008 r. władze FED napotkały ograniczenia w w</w:t>
      </w:r>
      <w:r w:rsidRPr="005F4276">
        <w:rPr>
          <w:szCs w:val="24"/>
        </w:rPr>
        <w:t>y</w:t>
      </w:r>
      <w:r w:rsidRPr="005F4276">
        <w:rPr>
          <w:szCs w:val="24"/>
        </w:rPr>
        <w:t>korzystaniu tradycyjnych narzędzi polityki pieniężnej,</w:t>
      </w:r>
      <w:r w:rsidRPr="005F4276">
        <w:rPr>
          <w:rStyle w:val="TekstprzypisudolnegoZnak"/>
          <w:szCs w:val="24"/>
        </w:rPr>
        <w:t xml:space="preserve"> związane z trzema czy</w:t>
      </w:r>
      <w:r w:rsidRPr="005F4276">
        <w:rPr>
          <w:rStyle w:val="TekstprzypisudolnegoZnak"/>
          <w:szCs w:val="24"/>
        </w:rPr>
        <w:t>n</w:t>
      </w:r>
      <w:r w:rsidRPr="005F4276">
        <w:rPr>
          <w:rStyle w:val="TekstprzypisudolnegoZnak"/>
          <w:szCs w:val="24"/>
        </w:rPr>
        <w:t>nikami [</w:t>
      </w:r>
      <w:proofErr w:type="spellStart"/>
      <w:r w:rsidRPr="005F4276">
        <w:rPr>
          <w:rStyle w:val="TekstprzypisudolnegoZnak"/>
          <w:szCs w:val="24"/>
        </w:rPr>
        <w:t>Cecioni</w:t>
      </w:r>
      <w:proofErr w:type="spellEnd"/>
      <w:r w:rsidR="0028214A">
        <w:rPr>
          <w:rStyle w:val="TekstprzypisudolnegoZnak"/>
          <w:szCs w:val="24"/>
        </w:rPr>
        <w:t xml:space="preserve"> i in.</w:t>
      </w:r>
      <w:r w:rsidRPr="005F4276">
        <w:rPr>
          <w:rStyle w:val="TekstprzypisudolnegoZnak"/>
          <w:szCs w:val="24"/>
        </w:rPr>
        <w:t xml:space="preserve"> 2011: 5]:</w:t>
      </w:r>
    </w:p>
    <w:p w:rsidR="005F4276" w:rsidRDefault="005F4276" w:rsidP="00714BBD">
      <w:pPr>
        <w:pStyle w:val="FutureWypunktowanie0"/>
        <w:spacing w:line="240" w:lineRule="auto"/>
      </w:pPr>
      <w:r>
        <w:t>osiągnięciem przez główną stopę procentową poziomu bliskiego zera, co uniemożliwiało dalsze cięcia,</w:t>
      </w:r>
    </w:p>
    <w:p w:rsidR="005F4276" w:rsidRDefault="005F4276" w:rsidP="00714BBD">
      <w:pPr>
        <w:pStyle w:val="FutureWypunktowanie0"/>
        <w:spacing w:line="240" w:lineRule="auto"/>
      </w:pPr>
      <w:r>
        <w:t>wzrostem popytu na rezerwy w systemie finansowym, ograniczającym płynność między instytucjami finansowymi i ograniczającym kontrolę FED nad stopą procentową na rynku międzybankowym,</w:t>
      </w:r>
    </w:p>
    <w:p w:rsidR="005F4276" w:rsidRPr="00955405" w:rsidRDefault="005F4276" w:rsidP="00714BBD">
      <w:pPr>
        <w:pStyle w:val="FutureWypunktowanie0"/>
        <w:spacing w:line="240" w:lineRule="auto"/>
        <w:rPr>
          <w:rStyle w:val="TekstprzypisudolnegoZnak"/>
          <w:sz w:val="24"/>
          <w:szCs w:val="24"/>
        </w:rPr>
      </w:pPr>
      <w:r>
        <w:t>zaburzeniami w funkcjonowaniu mechanizmów transmisji monetarnej, powodującymi zakłócenia w reakcji rynku finansowego na impuls monetarny.</w:t>
      </w:r>
    </w:p>
    <w:p w:rsidR="005F4276" w:rsidRPr="00714BBD" w:rsidRDefault="005F4276" w:rsidP="00714BBD">
      <w:pPr>
        <w:pStyle w:val="FutureTekstpodstawowy"/>
        <w:rPr>
          <w:rStyle w:val="Hipercze"/>
          <w:color w:val="auto"/>
          <w:szCs w:val="24"/>
          <w:u w:val="none"/>
        </w:rPr>
      </w:pPr>
      <w:r w:rsidRPr="00714BBD">
        <w:rPr>
          <w:rStyle w:val="TekstprzypisudolnegoZnak"/>
          <w:szCs w:val="24"/>
        </w:rPr>
        <w:t xml:space="preserve">W takich warunkach FED zdecydował się na działania niekonwencjonalne. </w:t>
      </w:r>
      <w:r w:rsidRPr="00714BBD">
        <w:rPr>
          <w:rStyle w:val="Hipercze"/>
          <w:color w:val="auto"/>
          <w:szCs w:val="24"/>
          <w:u w:val="none"/>
        </w:rPr>
        <w:t>25 listopada 2008 r. FED uruchomił pierwsz</w:t>
      </w:r>
      <w:r w:rsidR="00714BBD">
        <w:rPr>
          <w:rStyle w:val="Hipercze"/>
          <w:color w:val="auto"/>
          <w:szCs w:val="24"/>
          <w:u w:val="none"/>
        </w:rPr>
        <w:t>ą rundę luzowania ilościowego o </w:t>
      </w:r>
      <w:r w:rsidRPr="00714BBD">
        <w:rPr>
          <w:rStyle w:val="Hipercze"/>
          <w:color w:val="auto"/>
          <w:szCs w:val="24"/>
          <w:u w:val="none"/>
        </w:rPr>
        <w:t xml:space="preserve">wartości 600 mld USD. Początkowo reakcja rynków finansowych była dość powściągliwa, zahamowane zostały spadki, ale trudno mówić o pojawieniu się tendencji wzrostowej. </w:t>
      </w:r>
      <w:r w:rsidRPr="00714BBD">
        <w:rPr>
          <w:rStyle w:val="Hipercze"/>
          <w:color w:val="auto"/>
          <w:spacing w:val="-2"/>
          <w:szCs w:val="24"/>
          <w:u w:val="none"/>
        </w:rPr>
        <w:t>Raczej dominował trend boczny. W marcu 2009 r. wartość programu QE 1 została zwiększona do ok</w:t>
      </w:r>
      <w:r w:rsidR="00D52901">
        <w:rPr>
          <w:rStyle w:val="Hipercze"/>
          <w:color w:val="auto"/>
          <w:spacing w:val="-2"/>
          <w:szCs w:val="24"/>
          <w:u w:val="none"/>
        </w:rPr>
        <w:t>oło</w:t>
      </w:r>
      <w:r w:rsidRPr="00714BBD">
        <w:rPr>
          <w:rStyle w:val="Hipercze"/>
          <w:color w:val="auto"/>
          <w:spacing w:val="-2"/>
          <w:szCs w:val="24"/>
          <w:u w:val="none"/>
        </w:rPr>
        <w:t xml:space="preserve"> 1,5 bln USD [Piotrowski i Piotro</w:t>
      </w:r>
      <w:r w:rsidRPr="00714BBD">
        <w:rPr>
          <w:rStyle w:val="Hipercze"/>
          <w:color w:val="auto"/>
          <w:spacing w:val="-2"/>
          <w:szCs w:val="24"/>
          <w:u w:val="none"/>
        </w:rPr>
        <w:t>w</w:t>
      </w:r>
      <w:r w:rsidRPr="00714BBD">
        <w:rPr>
          <w:rStyle w:val="Hipercze"/>
          <w:color w:val="auto"/>
          <w:spacing w:val="-2"/>
          <w:szCs w:val="24"/>
          <w:u w:val="none"/>
        </w:rPr>
        <w:t>ska 2012: 133]. I to wywołało już prawdziwą euforię na rynkach. Wzrosty objęły przede wszystkim akcje i surowce. W ciągu następnych dwóch lat na rynkach surowcowych trwała nieprzerwana hossa. Stopy zwrotu rzędu 200</w:t>
      </w:r>
      <w:r w:rsidR="00714BBD">
        <w:rPr>
          <w:rStyle w:val="Hipercze"/>
          <w:color w:val="auto"/>
          <w:spacing w:val="-2"/>
          <w:szCs w:val="24"/>
          <w:u w:val="none"/>
        </w:rPr>
        <w:t>–</w:t>
      </w:r>
      <w:r w:rsidRPr="00714BBD">
        <w:rPr>
          <w:rStyle w:val="Hipercze"/>
          <w:color w:val="auto"/>
          <w:spacing w:val="-2"/>
          <w:szCs w:val="24"/>
          <w:u w:val="none"/>
        </w:rPr>
        <w:t>250%</w:t>
      </w:r>
      <w:r w:rsidRPr="00714BBD">
        <w:rPr>
          <w:rStyle w:val="Hipercze"/>
          <w:color w:val="auto"/>
          <w:szCs w:val="24"/>
          <w:u w:val="none"/>
        </w:rPr>
        <w:t xml:space="preserve"> w tym okresie były normą – na przykład notowania miedzi urosły ze 130 do 450 dol</w:t>
      </w:r>
      <w:r w:rsidRPr="00714BBD">
        <w:rPr>
          <w:rStyle w:val="Hipercze"/>
          <w:color w:val="auto"/>
          <w:szCs w:val="24"/>
          <w:u w:val="none"/>
        </w:rPr>
        <w:t>a</w:t>
      </w:r>
      <w:r w:rsidRPr="00714BBD">
        <w:rPr>
          <w:rStyle w:val="Hipercze"/>
          <w:color w:val="auto"/>
          <w:szCs w:val="24"/>
          <w:u w:val="none"/>
        </w:rPr>
        <w:t>rów. W niektórych wypadkach było to nawet 450% (choćby pallad).</w:t>
      </w:r>
    </w:p>
    <w:p w:rsidR="005F4276" w:rsidRDefault="005F4276" w:rsidP="00714BBD">
      <w:pPr>
        <w:pStyle w:val="FutureTekstpodstawowy"/>
        <w:rPr>
          <w:rStyle w:val="Hipercze"/>
          <w:color w:val="auto"/>
          <w:szCs w:val="24"/>
          <w:u w:val="none"/>
        </w:rPr>
      </w:pPr>
      <w:r w:rsidRPr="00714BBD">
        <w:rPr>
          <w:rStyle w:val="Hipercze"/>
          <w:color w:val="auto"/>
          <w:szCs w:val="24"/>
          <w:u w:val="none"/>
        </w:rPr>
        <w:t>Hossa na rynkach akcji krajów rozwiniętych trwa do dzisiaj. I tutaj również  odnotowano spektakularne wzrosty. Niemiecki DAX zyskał 170%, a ameryka</w:t>
      </w:r>
      <w:r w:rsidRPr="00714BBD">
        <w:rPr>
          <w:rStyle w:val="Hipercze"/>
          <w:color w:val="auto"/>
          <w:szCs w:val="24"/>
          <w:u w:val="none"/>
        </w:rPr>
        <w:t>ń</w:t>
      </w:r>
      <w:r w:rsidRPr="00714BBD">
        <w:rPr>
          <w:rStyle w:val="Hipercze"/>
          <w:color w:val="auto"/>
          <w:szCs w:val="24"/>
          <w:u w:val="none"/>
        </w:rPr>
        <w:t xml:space="preserve">ski </w:t>
      </w:r>
      <w:proofErr w:type="spellStart"/>
      <w:r w:rsidRPr="00714BBD">
        <w:rPr>
          <w:rStyle w:val="Hipercze"/>
          <w:color w:val="auto"/>
          <w:szCs w:val="24"/>
          <w:u w:val="none"/>
        </w:rPr>
        <w:t>S&amp;P</w:t>
      </w:r>
      <w:proofErr w:type="spellEnd"/>
      <w:r w:rsidRPr="00714BBD">
        <w:rPr>
          <w:rStyle w:val="Hipercze"/>
          <w:color w:val="auto"/>
          <w:szCs w:val="24"/>
          <w:u w:val="none"/>
        </w:rPr>
        <w:t xml:space="preserve"> 500 ponad 180% (wykres 5). Oba indeksy zdecydowanie pokonały swoje maksima z 2007 r. Bez wątpienia, w dużej mierze jest to skutek polityki </w:t>
      </w:r>
      <w:proofErr w:type="spellStart"/>
      <w:r w:rsidRPr="00D52901">
        <w:rPr>
          <w:rStyle w:val="Hipercze"/>
          <w:i/>
          <w:color w:val="auto"/>
          <w:szCs w:val="24"/>
          <w:u w:val="none"/>
        </w:rPr>
        <w:t>quantitative</w:t>
      </w:r>
      <w:proofErr w:type="spellEnd"/>
      <w:r w:rsidRPr="00D52901">
        <w:rPr>
          <w:rStyle w:val="Hipercze"/>
          <w:i/>
          <w:color w:val="auto"/>
          <w:szCs w:val="24"/>
          <w:u w:val="none"/>
        </w:rPr>
        <w:t xml:space="preserve"> </w:t>
      </w:r>
      <w:proofErr w:type="spellStart"/>
      <w:r w:rsidRPr="00D52901">
        <w:rPr>
          <w:rStyle w:val="Hipercze"/>
          <w:i/>
          <w:color w:val="auto"/>
          <w:szCs w:val="24"/>
          <w:u w:val="none"/>
        </w:rPr>
        <w:t>easing</w:t>
      </w:r>
      <w:proofErr w:type="spellEnd"/>
      <w:r w:rsidRPr="00714BBD">
        <w:rPr>
          <w:rStyle w:val="Hipercze"/>
          <w:color w:val="auto"/>
          <w:szCs w:val="24"/>
          <w:u w:val="none"/>
        </w:rPr>
        <w:t xml:space="preserve"> amerykańskiej Rezerwy Federalnej. Kolejne odsłony QE wpompowały w rynek ponad 3 bln USD. Gro z tych „dodrukowanych dolarów” trafiło na rynki finansowe</w:t>
      </w:r>
      <w:r w:rsidR="00714BBD">
        <w:rPr>
          <w:rStyle w:val="Hipercze"/>
          <w:color w:val="auto"/>
          <w:szCs w:val="24"/>
          <w:u w:val="none"/>
        </w:rPr>
        <w:t>.</w:t>
      </w:r>
    </w:p>
    <w:p w:rsidR="005A0E95" w:rsidRDefault="005A0E95" w:rsidP="005A0E95">
      <w:pPr>
        <w:pStyle w:val="FutureTekstpodstawowy"/>
        <w:tabs>
          <w:tab w:val="left" w:pos="810"/>
        </w:tabs>
      </w:pPr>
      <w:r w:rsidRPr="00714BBD">
        <w:t>Najbardziej „oporny” na politykę luzowania ilościowego okazał się rynek nieruchomości. Ceny domów w Stanach Zjednoczonych, po dotkliwych spa</w:t>
      </w:r>
      <w:r w:rsidRPr="00714BBD">
        <w:t>d</w:t>
      </w:r>
      <w:r w:rsidRPr="00714BBD">
        <w:t>kach z 2007, 2008 i początku 2009 r. jeszcze długo nie mogły się podnieść. Wł</w:t>
      </w:r>
      <w:r w:rsidRPr="00714BBD">
        <w:t>a</w:t>
      </w:r>
      <w:r w:rsidRPr="00714BBD">
        <w:t>ściwie przez następne 2,5 roku indeks cen domów wahał się w niewielkim z</w:t>
      </w:r>
      <w:r w:rsidRPr="00714BBD">
        <w:t>a</w:t>
      </w:r>
      <w:r w:rsidRPr="00714BBD">
        <w:t xml:space="preserve">kresie, wykazując tendencję horyzontalną. </w:t>
      </w:r>
    </w:p>
    <w:p w:rsidR="00714BBD" w:rsidRDefault="00A40AB8" w:rsidP="00714BBD">
      <w:pPr>
        <w:pStyle w:val="FutureTekstpodstawowy"/>
        <w:ind w:firstLine="0"/>
        <w:jc w:val="center"/>
        <w:rPr>
          <w:rStyle w:val="Hipercze"/>
          <w:color w:val="auto"/>
          <w:szCs w:val="24"/>
          <w:u w:val="none"/>
        </w:rPr>
      </w:pPr>
      <w:r>
        <w:rPr>
          <w:noProof/>
        </w:rPr>
        <w:drawing>
          <wp:inline distT="0" distB="0" distL="0" distR="0">
            <wp:extent cx="4133850" cy="2581275"/>
            <wp:effectExtent l="19050" t="0" r="0" b="0"/>
            <wp:docPr id="15" name="Obraz 31" descr="C:\Users\Jacek\Desktop\^spx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C:\Users\Jacek\Desktop\^spx_w.png"/>
                    <pic:cNvPicPr>
                      <a:picLocks noChangeAspect="1" noChangeArrowheads="1"/>
                    </pic:cNvPicPr>
                  </pic:nvPicPr>
                  <pic:blipFill>
                    <a:blip r:embed="rId13" cstate="print"/>
                    <a:srcRect/>
                    <a:stretch>
                      <a:fillRect/>
                    </a:stretch>
                  </pic:blipFill>
                  <pic:spPr bwMode="auto">
                    <a:xfrm>
                      <a:off x="0" y="0"/>
                      <a:ext cx="4133850" cy="2581275"/>
                    </a:xfrm>
                    <a:prstGeom prst="rect">
                      <a:avLst/>
                    </a:prstGeom>
                    <a:noFill/>
                    <a:ln w="9525">
                      <a:noFill/>
                      <a:miter lim="800000"/>
                      <a:headEnd/>
                      <a:tailEnd/>
                    </a:ln>
                  </pic:spPr>
                </pic:pic>
              </a:graphicData>
            </a:graphic>
          </wp:inline>
        </w:drawing>
      </w:r>
    </w:p>
    <w:p w:rsidR="00714BBD" w:rsidRPr="00714BBD" w:rsidRDefault="00714BBD" w:rsidP="00714BBD">
      <w:pPr>
        <w:pStyle w:val="FutureRysunekTabela"/>
        <w:rPr>
          <w:sz w:val="2"/>
        </w:rPr>
      </w:pPr>
    </w:p>
    <w:p w:rsidR="00714BBD" w:rsidRPr="00714BBD" w:rsidRDefault="00714BBD" w:rsidP="00714BBD">
      <w:pPr>
        <w:pStyle w:val="FutureRysunekTabela"/>
      </w:pPr>
      <w:r w:rsidRPr="00714BBD">
        <w:t xml:space="preserve">Wykres 5. </w:t>
      </w:r>
      <w:r w:rsidRPr="00714BBD">
        <w:rPr>
          <w:rStyle w:val="Hipercze"/>
          <w:color w:val="auto"/>
          <w:szCs w:val="24"/>
          <w:u w:val="none"/>
        </w:rPr>
        <w:t>Indek</w:t>
      </w:r>
      <w:r>
        <w:rPr>
          <w:rStyle w:val="Hipercze"/>
          <w:color w:val="auto"/>
          <w:szCs w:val="24"/>
          <w:u w:val="none"/>
        </w:rPr>
        <w:t xml:space="preserve">s </w:t>
      </w:r>
      <w:proofErr w:type="spellStart"/>
      <w:r>
        <w:rPr>
          <w:rStyle w:val="Hipercze"/>
          <w:color w:val="auto"/>
          <w:szCs w:val="24"/>
          <w:u w:val="none"/>
        </w:rPr>
        <w:t>S&amp;P</w:t>
      </w:r>
      <w:proofErr w:type="spellEnd"/>
      <w:r>
        <w:rPr>
          <w:rStyle w:val="Hipercze"/>
          <w:color w:val="auto"/>
          <w:szCs w:val="24"/>
          <w:u w:val="none"/>
        </w:rPr>
        <w:t xml:space="preserve"> 500 w latach 2008–</w:t>
      </w:r>
      <w:r w:rsidRPr="00714BBD">
        <w:rPr>
          <w:rStyle w:val="Hipercze"/>
          <w:color w:val="auto"/>
          <w:szCs w:val="24"/>
          <w:u w:val="none"/>
        </w:rPr>
        <w:t>2014</w:t>
      </w:r>
    </w:p>
    <w:p w:rsidR="00714BBD" w:rsidRPr="005F4276" w:rsidRDefault="00714BBD" w:rsidP="00714BBD">
      <w:pPr>
        <w:pStyle w:val="Futurerdo"/>
      </w:pPr>
      <w:r w:rsidRPr="005F4276">
        <w:t xml:space="preserve">Źródło: </w:t>
      </w:r>
      <w:hyperlink r:id="rId14" w:history="1">
        <w:r w:rsidRPr="005F4276">
          <w:rPr>
            <w:rStyle w:val="Hipercze"/>
            <w:color w:val="auto"/>
            <w:szCs w:val="20"/>
            <w:u w:val="none"/>
          </w:rPr>
          <w:t>stooq.</w:t>
        </w:r>
      </w:hyperlink>
      <w:r>
        <w:rPr>
          <w:rStyle w:val="Hipercze"/>
          <w:color w:val="auto"/>
          <w:szCs w:val="20"/>
          <w:u w:val="none"/>
        </w:rPr>
        <w:t>com</w:t>
      </w:r>
      <w:r w:rsidRPr="005F4276">
        <w:t>.</w:t>
      </w:r>
    </w:p>
    <w:p w:rsidR="00D52901" w:rsidRDefault="00D52901" w:rsidP="00714BBD">
      <w:pPr>
        <w:pStyle w:val="FutureTekstpodstawowy"/>
        <w:ind w:firstLine="0"/>
        <w:jc w:val="center"/>
      </w:pPr>
    </w:p>
    <w:p w:rsidR="00D52901" w:rsidRDefault="00D52901" w:rsidP="00714BBD">
      <w:pPr>
        <w:pStyle w:val="FutureTekstpodstawowy"/>
        <w:ind w:firstLine="0"/>
        <w:jc w:val="center"/>
      </w:pPr>
    </w:p>
    <w:p w:rsidR="00714BBD" w:rsidRDefault="00D52901" w:rsidP="00D52901">
      <w:pPr>
        <w:pStyle w:val="FutureTekstpodstawowy"/>
        <w:ind w:firstLine="0"/>
        <w:jc w:val="left"/>
        <w:rPr>
          <w:szCs w:val="24"/>
        </w:rPr>
      </w:pPr>
      <w:r>
        <w:t xml:space="preserve">     </w:t>
      </w:r>
      <w:r w:rsidR="00A40AB8">
        <w:rPr>
          <w:noProof/>
          <w:szCs w:val="24"/>
        </w:rPr>
        <w:drawing>
          <wp:inline distT="0" distB="0" distL="0" distR="0">
            <wp:extent cx="3899750" cy="2595067"/>
            <wp:effectExtent l="19050" t="0" r="5500" b="0"/>
            <wp:docPr id="20" name="Obraz 32" descr="C:\Users\Jacek\Desktop\fred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descr="C:\Users\Jacek\Desktop\fredgraph.jpg"/>
                    <pic:cNvPicPr>
                      <a:picLocks noChangeAspect="1" noChangeArrowheads="1"/>
                    </pic:cNvPicPr>
                  </pic:nvPicPr>
                  <pic:blipFill>
                    <a:blip r:embed="rId15" cstate="print"/>
                    <a:srcRect/>
                    <a:stretch>
                      <a:fillRect/>
                    </a:stretch>
                  </pic:blipFill>
                  <pic:spPr bwMode="auto">
                    <a:xfrm>
                      <a:off x="0" y="0"/>
                      <a:ext cx="3899750" cy="2595067"/>
                    </a:xfrm>
                    <a:prstGeom prst="rect">
                      <a:avLst/>
                    </a:prstGeom>
                    <a:noFill/>
                    <a:ln w="9525">
                      <a:noFill/>
                      <a:miter lim="800000"/>
                      <a:headEnd/>
                      <a:tailEnd/>
                    </a:ln>
                  </pic:spPr>
                </pic:pic>
              </a:graphicData>
            </a:graphic>
          </wp:inline>
        </w:drawing>
      </w:r>
    </w:p>
    <w:p w:rsidR="00714BBD" w:rsidRPr="00714BBD" w:rsidRDefault="00714BBD" w:rsidP="00714BBD">
      <w:pPr>
        <w:pStyle w:val="FutureRysunekTabela"/>
        <w:rPr>
          <w:sz w:val="6"/>
        </w:rPr>
      </w:pPr>
    </w:p>
    <w:p w:rsidR="00714BBD" w:rsidRPr="00714BBD" w:rsidRDefault="00714BBD" w:rsidP="00714BBD">
      <w:pPr>
        <w:pStyle w:val="FutureRysunekTabela"/>
      </w:pPr>
      <w:r w:rsidRPr="00714BBD">
        <w:t xml:space="preserve">Wykres </w:t>
      </w:r>
      <w:r>
        <w:t>6</w:t>
      </w:r>
      <w:r w:rsidRPr="00714BBD">
        <w:t xml:space="preserve">. </w:t>
      </w:r>
      <w:r w:rsidRPr="00714BBD">
        <w:rPr>
          <w:szCs w:val="24"/>
        </w:rPr>
        <w:t>Indeks cen d</w:t>
      </w:r>
      <w:r>
        <w:rPr>
          <w:szCs w:val="24"/>
        </w:rPr>
        <w:t>omów w USA od 2005 do 2014 r.</w:t>
      </w:r>
    </w:p>
    <w:p w:rsidR="00714BBD" w:rsidRPr="005F4276" w:rsidRDefault="00714BBD" w:rsidP="00714BBD">
      <w:pPr>
        <w:pStyle w:val="Futurerdo"/>
      </w:pPr>
      <w:r w:rsidRPr="005F4276">
        <w:t xml:space="preserve">Źródło: </w:t>
      </w:r>
      <w:r w:rsidRPr="00714BBD">
        <w:rPr>
          <w:bCs/>
          <w:iCs/>
        </w:rPr>
        <w:t>research</w:t>
      </w:r>
      <w:r w:rsidRPr="00714BBD">
        <w:rPr>
          <w:iCs/>
        </w:rPr>
        <w:t>.</w:t>
      </w:r>
      <w:r w:rsidRPr="00714BBD">
        <w:rPr>
          <w:bCs/>
          <w:iCs/>
        </w:rPr>
        <w:t>stlouisfed</w:t>
      </w:r>
      <w:r w:rsidRPr="00714BBD">
        <w:rPr>
          <w:iCs/>
        </w:rPr>
        <w:t>.</w:t>
      </w:r>
      <w:r w:rsidRPr="00714BBD">
        <w:rPr>
          <w:bCs/>
          <w:iCs/>
        </w:rPr>
        <w:t>org</w:t>
      </w:r>
      <w:r w:rsidRPr="005F4276">
        <w:t>.</w:t>
      </w:r>
    </w:p>
    <w:p w:rsidR="00D52901" w:rsidRDefault="00D52901" w:rsidP="00714BBD">
      <w:pPr>
        <w:pStyle w:val="FutureTekstpodstawowy"/>
        <w:tabs>
          <w:tab w:val="left" w:pos="810"/>
        </w:tabs>
      </w:pPr>
    </w:p>
    <w:p w:rsidR="00714BBD" w:rsidRDefault="00714BBD" w:rsidP="00714BBD">
      <w:pPr>
        <w:pStyle w:val="FutureTekstpodstawowy"/>
        <w:tabs>
          <w:tab w:val="left" w:pos="810"/>
        </w:tabs>
      </w:pPr>
      <w:r w:rsidRPr="00714BBD">
        <w:t>Dopiero w początkach 2012 r. rozpoczął się systematyczny wzrost wartości nieruchomości w USA. Wytłumaczenie tego jest dosyć proste. Z powodu ni</w:t>
      </w:r>
      <w:r w:rsidRPr="00714BBD">
        <w:t>e</w:t>
      </w:r>
      <w:r w:rsidRPr="00714BBD">
        <w:t>spłacania kredytów hipotecznych przez właścicieli domów wiele z nich zostało przejętych przez banki. Instytucje te były zainteresowane jak najszybszą sprz</w:t>
      </w:r>
      <w:r w:rsidRPr="00714BBD">
        <w:t>e</w:t>
      </w:r>
      <w:r w:rsidRPr="00714BBD">
        <w:t>dażą zajętych majątków. Nie dość, że znacząco wzrosła podaż na rynku, to d</w:t>
      </w:r>
      <w:r w:rsidRPr="00714BBD">
        <w:t>o</w:t>
      </w:r>
      <w:r w:rsidRPr="00714BBD">
        <w:t>datkowo chęć prędkiej transakcji wymuszała redukcję ceny. Musiało minąć wi</w:t>
      </w:r>
      <w:r w:rsidRPr="00714BBD">
        <w:t>e</w:t>
      </w:r>
      <w:r w:rsidRPr="00714BBD">
        <w:t>le czasu zanim dodatkowa podaż została wchłonięta przez rynek. Do dzisiaj indeks cen domów w USA zyskał ponad 20%. Są to jednak dużo niższe wart</w:t>
      </w:r>
      <w:r w:rsidRPr="00714BBD">
        <w:t>o</w:t>
      </w:r>
      <w:r w:rsidRPr="00714BBD">
        <w:t>ści, niż te z 2006 i 2007 r</w:t>
      </w:r>
      <w:r w:rsidR="0028214A">
        <w:t>.</w:t>
      </w:r>
      <w:r w:rsidRPr="00714BBD">
        <w:t>, czyli z czasów przed kryzysem (wykres 6)</w:t>
      </w:r>
      <w:r>
        <w:t>.</w:t>
      </w:r>
    </w:p>
    <w:p w:rsidR="005F4276" w:rsidRPr="00F16B10" w:rsidRDefault="005F4276" w:rsidP="005F4276">
      <w:pPr>
        <w:pStyle w:val="FutureTyturozdziau"/>
      </w:pPr>
      <w:r>
        <w:t>3. </w:t>
      </w:r>
      <w:r w:rsidR="00714BBD" w:rsidRPr="00714BBD">
        <w:t>PRZYSZŁOŚĆ POLITYKI PIENIĘŻNEJ</w:t>
      </w:r>
    </w:p>
    <w:p w:rsidR="00714BBD" w:rsidRDefault="00714BBD" w:rsidP="00714BBD">
      <w:pPr>
        <w:pStyle w:val="FutureTekstpodstawowy"/>
      </w:pPr>
      <w:r>
        <w:t>Wiodącą rolę w wywołaniu ostatniego kryzysu odegrały czynniki mające swe źródło w systemie finansowym, czy to związane z nadmierną ekspansją kredytową czy też z niedostatecznym nadzorem nad instytucjami finansowymi i problemem wyceny ryzyka [</w:t>
      </w:r>
      <w:proofErr w:type="spellStart"/>
      <w:r>
        <w:t>Roubini</w:t>
      </w:r>
      <w:proofErr w:type="spellEnd"/>
      <w:r>
        <w:t xml:space="preserve"> i </w:t>
      </w:r>
      <w:proofErr w:type="spellStart"/>
      <w:r>
        <w:t>Mihm</w:t>
      </w:r>
      <w:proofErr w:type="spellEnd"/>
      <w:r>
        <w:t xml:space="preserve"> 2011: 99</w:t>
      </w:r>
      <w:r w:rsidR="0028214A">
        <w:t>–</w:t>
      </w:r>
      <w:r>
        <w:t>105]. Duża część w</w:t>
      </w:r>
      <w:r>
        <w:t>y</w:t>
      </w:r>
      <w:r>
        <w:t>mienionych obszarów znajduje się w kompetencjach nadzorczych banków ce</w:t>
      </w:r>
      <w:r>
        <w:t>n</w:t>
      </w:r>
      <w:r>
        <w:t>tralnych, bądź postuluje się objęcie ich nadzorem banków centralnych (w r</w:t>
      </w:r>
      <w:r>
        <w:t>a</w:t>
      </w:r>
      <w:r>
        <w:t xml:space="preserve">mach polityki </w:t>
      </w:r>
      <w:proofErr w:type="spellStart"/>
      <w:r>
        <w:t>makroostrożnościowej</w:t>
      </w:r>
      <w:proofErr w:type="spellEnd"/>
      <w:r>
        <w:t>).</w:t>
      </w:r>
    </w:p>
    <w:p w:rsidR="00714BBD" w:rsidRDefault="00714BBD" w:rsidP="00714BBD">
      <w:pPr>
        <w:pStyle w:val="FutureTekstpodstawowy"/>
      </w:pPr>
      <w:r>
        <w:t>Dotychczas celem polityki monetarnej była stabilizacja makroekonomiczna, rozumiana jako utrzymywanie inflacji na odpowiednio niskim poziomie i jedn</w:t>
      </w:r>
      <w:r>
        <w:t>o</w:t>
      </w:r>
      <w:r>
        <w:t>cześnie, jeśli nie koliduje to z przyjętym celem inflacyjnym utrzymywanie d</w:t>
      </w:r>
      <w:r>
        <w:t>o</w:t>
      </w:r>
      <w:r>
        <w:t xml:space="preserve">chodu narodowego na poziomie potencjalnym a stopy bezrobocia na poziomie naturalnym. Dominowała strategia bezpośredniego celu inflacyjnego (BCI). Kryzys lat 2007–2009 obnażył słabości tej koncepcji. Wielu autorów od dawna zwracało uwagę na słabości strategii BCI. Szczególnie akcentowano pomijanie sektora finansowego w transmisji monetarnej i nieuwzględnianie w modelach inflacji cen aktywów. W ostatnich trzydziestu latach nastąpiły bardzo znaczące zmiany w strukturze systemu finansowego. Deregulacja i zmiany technologiczne doprowadziły do szybkiego rozwoju </w:t>
      </w:r>
      <w:proofErr w:type="spellStart"/>
      <w:r>
        <w:t>parabankowych</w:t>
      </w:r>
      <w:proofErr w:type="spellEnd"/>
      <w:r>
        <w:t xml:space="preserve"> instytucji finansowych, globalizacji i konsolidacji instytucji finansowych, a także wzrostu znaczenia procesów rynkowych. W związku z tym współczesny system finansowy jest zdecydowanie bardziej podatny na wystąpienie cyklu silnych wzrostów i nast</w:t>
      </w:r>
      <w:r>
        <w:t>ę</w:t>
      </w:r>
      <w:r>
        <w:t>pujących później gwałtownych załamań niż kilkadziesiąt lat temu [White 2006: 15</w:t>
      </w:r>
      <w:r w:rsidR="0084132B">
        <w:t>–</w:t>
      </w:r>
      <w:r>
        <w:t>17]. Przyczyną powstawania takich zawirowań jest przyrost wartości udzi</w:t>
      </w:r>
      <w:r>
        <w:t>e</w:t>
      </w:r>
      <w:r>
        <w:t>lanych kredytów pod wpływem nadmiernie optymistycznego postrzegania prz</w:t>
      </w:r>
      <w:r>
        <w:t>y</w:t>
      </w:r>
      <w:r>
        <w:t>szłości. To z kolei prowadzi do wzrostu cen aktywów i automatycznie zwiększa wartość zabezpieczenia kredytobiorców, co potęguje dalszą ekspansję kredyt</w:t>
      </w:r>
      <w:r>
        <w:t>o</w:t>
      </w:r>
      <w:r>
        <w:t>wą. W miarę jak wzrost gospodarczy nabiera tempa rośnie skłonność do pode</w:t>
      </w:r>
      <w:r>
        <w:t>j</w:t>
      </w:r>
      <w:r>
        <w:t xml:space="preserve">mowania ryzyka. Ceny aktywów, wewnętrzne </w:t>
      </w:r>
      <w:proofErr w:type="spellStart"/>
      <w:r>
        <w:t>ratingi</w:t>
      </w:r>
      <w:proofErr w:type="spellEnd"/>
      <w:r>
        <w:t xml:space="preserve"> banków, </w:t>
      </w:r>
      <w:proofErr w:type="spellStart"/>
      <w:r>
        <w:t>spready</w:t>
      </w:r>
      <w:proofErr w:type="spellEnd"/>
      <w:r>
        <w:t xml:space="preserve"> kredyt</w:t>
      </w:r>
      <w:r>
        <w:t>o</w:t>
      </w:r>
      <w:r>
        <w:t xml:space="preserve">we, rezerwy celowe na zagrożone należności, oceny agencji </w:t>
      </w:r>
      <w:proofErr w:type="spellStart"/>
      <w:r>
        <w:t>ratingowych</w:t>
      </w:r>
      <w:proofErr w:type="spellEnd"/>
      <w:r>
        <w:t xml:space="preserve"> ch</w:t>
      </w:r>
      <w:r>
        <w:t>a</w:t>
      </w:r>
      <w:r>
        <w:t>rakteryzują s</w:t>
      </w:r>
      <w:r w:rsidR="00D52901">
        <w:t xml:space="preserve">ię </w:t>
      </w:r>
      <w:proofErr w:type="spellStart"/>
      <w:r w:rsidR="00D52901">
        <w:t>procyklicznością</w:t>
      </w:r>
      <w:proofErr w:type="spellEnd"/>
      <w:r w:rsidR="00D52901">
        <w:t>. W sytuacji</w:t>
      </w:r>
      <w:r>
        <w:t>, gdy po okresie nieracjonalnego entuzjazmu dochodzi do odwrócenia całego procesu następuje recesja. Jest ona dodatkowo wzmagana wysokim stopniem zadłużenia i niskim poziomem inw</w:t>
      </w:r>
      <w:r>
        <w:t>e</w:t>
      </w:r>
      <w:r>
        <w:t>stycji w realną gospodarkę (po okresie przegrzania). W ostatnich dwóch, trzech dziesięcioleciach takie wydarzenia nie były poprzedzone okresem zwiększonej inflacji, ale we wszystkich występował szybki wzrost wartości kredytu, cen a</w:t>
      </w:r>
      <w:r>
        <w:t>k</w:t>
      </w:r>
      <w:r>
        <w:t>tywów i inwestycji [White 2006: 16]. Stąd pojawił się postulat analizowania sytuacji sektora finansowego i jego wpływu na trwałość i tempo wzrostu gosp</w:t>
      </w:r>
      <w:r>
        <w:t>o</w:t>
      </w:r>
      <w:r>
        <w:t xml:space="preserve">darczego jako nowej przesłanki do prowadzenia polityki pieniężnej. Szczególnie ostatni globalny kryzys dostarczył mocnych argumentów zwolennikom tej tezy. </w:t>
      </w:r>
    </w:p>
    <w:p w:rsidR="00714BBD" w:rsidRDefault="00714BBD" w:rsidP="00714BBD">
      <w:pPr>
        <w:pStyle w:val="FutureTekstpodstawowy"/>
      </w:pPr>
      <w:r>
        <w:t>Inny mankament strategii BCI odnosi się do prowadzenia polityki moneta</w:t>
      </w:r>
      <w:r>
        <w:t>r</w:t>
      </w:r>
      <w:r>
        <w:t>nej w krajach rozwijających się. W warunkach globalizacji gospodarek, uwo</w:t>
      </w:r>
      <w:r>
        <w:t>l</w:t>
      </w:r>
      <w:r>
        <w:t>nienia kursów walutowych i rynków finansowych inflacja przestała być wska</w:t>
      </w:r>
      <w:r>
        <w:t>ź</w:t>
      </w:r>
      <w:r>
        <w:t>nikiem mówiącym o stanie rynku wewnętrznego [Belka 2013]. Inflacja może być importowana poprzez wzrost cen ropy naftowej, gazu, cen żywności itp. Ponieważ nie jest ona wynikiem wewnętrznej koniunktury, oddziaływanie na nią za pomocą stóp procentowych, które skierowane są do wewnątrz jest wątpliwe. Wyjściem z sytuacji może być uelastycznienie celu inflacyjnego. Bank centralny toleruje odchylenia wskaźnika cen od celu tak długo, jak długo w istotny sposób działają czynniki zewnętrzne.</w:t>
      </w:r>
    </w:p>
    <w:p w:rsidR="00714BBD" w:rsidRPr="00973B34" w:rsidRDefault="00714BBD" w:rsidP="00714BBD">
      <w:pPr>
        <w:pStyle w:val="FutureTekstpodstawowy"/>
      </w:pPr>
      <w:r>
        <w:t>Ostatni kryzys finansowy zrewidował postrzeganie roli banku centralnego. Wielu autorów zaakceptowało ramy elastycznej strategii celu inflacyjnego (</w:t>
      </w:r>
      <w:proofErr w:type="spellStart"/>
      <w:r>
        <w:rPr>
          <w:i/>
        </w:rPr>
        <w:t>flexible</w:t>
      </w:r>
      <w:proofErr w:type="spellEnd"/>
      <w:r>
        <w:rPr>
          <w:i/>
        </w:rPr>
        <w:t xml:space="preserve"> </w:t>
      </w:r>
      <w:proofErr w:type="spellStart"/>
      <w:r>
        <w:rPr>
          <w:i/>
        </w:rPr>
        <w:t>inflation</w:t>
      </w:r>
      <w:proofErr w:type="spellEnd"/>
      <w:r>
        <w:rPr>
          <w:i/>
        </w:rPr>
        <w:t xml:space="preserve"> </w:t>
      </w:r>
      <w:proofErr w:type="spellStart"/>
      <w:r>
        <w:rPr>
          <w:i/>
        </w:rPr>
        <w:t>targeting</w:t>
      </w:r>
      <w:proofErr w:type="spellEnd"/>
      <w:r>
        <w:t>) ze stabilnością finansową jako celem polityki mon</w:t>
      </w:r>
      <w:r>
        <w:t>e</w:t>
      </w:r>
      <w:r>
        <w:t>tarnej. W jej myśl bank centralny, obok utrzymywania inflacji na poziomie celu, dba również o stabilizację stóp procentowych, zatrudnienia, produkcji, stabiliz</w:t>
      </w:r>
      <w:r>
        <w:t>a</w:t>
      </w:r>
      <w:r>
        <w:t>cję kursu walutowego [</w:t>
      </w:r>
      <w:proofErr w:type="spellStart"/>
      <w:r>
        <w:t>Svensson</w:t>
      </w:r>
      <w:proofErr w:type="spellEnd"/>
      <w:r>
        <w:t xml:space="preserve"> 1997: 7]. Nowy konsensus zakłada, że bank centralny przyjmie postawę aktywną w czasie narastania bańki, a nie tylko po jej pęknięciu. Ale powstaje pytanie w jaki sposób miałby on monitorować zmiany na rynku finansowym i jakie dane wykorzystywać w tym celu. </w:t>
      </w:r>
      <w:r w:rsidRPr="00973B34">
        <w:t>Postulowane są następujące opcje:</w:t>
      </w:r>
    </w:p>
    <w:p w:rsidR="00714BBD" w:rsidRPr="00973B34" w:rsidRDefault="00714BBD" w:rsidP="0084132B">
      <w:pPr>
        <w:pStyle w:val="FutureWypunktowanie0"/>
        <w:spacing w:line="240" w:lineRule="auto"/>
      </w:pPr>
      <w:r>
        <w:t>obserwacja zmian agregatów pieniężnych i kredytu w gospodarce,</w:t>
      </w:r>
    </w:p>
    <w:p w:rsidR="00714BBD" w:rsidRDefault="00714BBD" w:rsidP="0084132B">
      <w:pPr>
        <w:pStyle w:val="FutureWypunktowanie0"/>
        <w:spacing w:line="240" w:lineRule="auto"/>
      </w:pPr>
      <w:r>
        <w:t>włączenie cen aktywów finansowych do indeksu cen, wykorzystywanego do zdefiniowania celu inflacyjnego,</w:t>
      </w:r>
    </w:p>
    <w:p w:rsidR="00714BBD" w:rsidRDefault="00714BBD" w:rsidP="0084132B">
      <w:pPr>
        <w:pStyle w:val="FutureWypunktowanie0"/>
        <w:spacing w:line="240" w:lineRule="auto"/>
      </w:pPr>
      <w:r>
        <w:t>przekłucie bąbla spekulacyjnego,</w:t>
      </w:r>
    </w:p>
    <w:p w:rsidR="00714BBD" w:rsidRDefault="00714BBD" w:rsidP="0084132B">
      <w:pPr>
        <w:pStyle w:val="FutureWypunktowanie0"/>
        <w:spacing w:line="240" w:lineRule="auto"/>
      </w:pPr>
      <w:r>
        <w:t>działanie na przekór trendowi, czyli stopniowe łagodzenie trendu poprzez podnoszenie stóp procentowych lub wykorzystywanie innych instrumentów.</w:t>
      </w:r>
    </w:p>
    <w:p w:rsidR="00714BBD" w:rsidRDefault="00714BBD" w:rsidP="00896A1C">
      <w:pPr>
        <w:pStyle w:val="FutureTekstpodstawowy"/>
        <w:spacing w:line="250" w:lineRule="exact"/>
      </w:pPr>
      <w:r w:rsidRPr="00781BB0">
        <w:t>Szczególnie kontrola zmian agregatów pieniężnych i kredytu może dosta</w:t>
      </w:r>
      <w:r w:rsidRPr="00781BB0">
        <w:t>r</w:t>
      </w:r>
      <w:r w:rsidRPr="00781BB0">
        <w:t>czyć z wyprzedzeniem informacji o narastaniu presji w gospodarce i na rynkach finansowych</w:t>
      </w:r>
      <w:r>
        <w:rPr>
          <w:rStyle w:val="Odwoanieprzypisudolnego"/>
          <w:sz w:val="24"/>
          <w:szCs w:val="24"/>
        </w:rPr>
        <w:t xml:space="preserve"> </w:t>
      </w:r>
      <w:r>
        <w:t>[</w:t>
      </w:r>
      <w:proofErr w:type="spellStart"/>
      <w:r>
        <w:t>Issing</w:t>
      </w:r>
      <w:proofErr w:type="spellEnd"/>
      <w:r>
        <w:t xml:space="preserve"> 2009: 7]. </w:t>
      </w:r>
      <w:r w:rsidRPr="00781BB0">
        <w:t>Monitorowanie tylko i wyłącznie poziomu inflacji może</w:t>
      </w:r>
      <w:r>
        <w:t xml:space="preserve"> być złudne. Kryzysy występujące</w:t>
      </w:r>
      <w:r w:rsidRPr="00781BB0">
        <w:t xml:space="preserve"> w ostatnich kilkudziesięciu latach ba</w:t>
      </w:r>
      <w:r w:rsidRPr="00781BB0">
        <w:t>r</w:t>
      </w:r>
      <w:r w:rsidRPr="00781BB0">
        <w:t>dzo często nie były poprzedzone okresami znaczącego wzrostu cen. Szybki wzrost gospodarczy odbywał się przy dość stabilnych poziomach cen konsum</w:t>
      </w:r>
      <w:r w:rsidRPr="00781BB0">
        <w:t>p</w:t>
      </w:r>
      <w:r w:rsidRPr="00781BB0">
        <w:t>cyjnych. W tym samym czasie dochodziło do powstawania baniek spekulacy</w:t>
      </w:r>
      <w:r w:rsidRPr="00781BB0">
        <w:t>j</w:t>
      </w:r>
      <w:r w:rsidRPr="00781BB0">
        <w:t>nych na rynkach finansowych i rynku nieruchomości. Ogólnie przyjęte wskaźn</w:t>
      </w:r>
      <w:r w:rsidRPr="00781BB0">
        <w:t>i</w:t>
      </w:r>
      <w:r w:rsidRPr="00781BB0">
        <w:t>ki inflacji nie wychwytywały zjawiska narastania nierównowagi. Dlatego k</w:t>
      </w:r>
      <w:r w:rsidRPr="00781BB0">
        <w:t>o</w:t>
      </w:r>
      <w:r w:rsidRPr="00781BB0">
        <w:t>nieczne wydaje się monitorowanie również cen aktywów</w:t>
      </w:r>
      <w:r>
        <w:t xml:space="preserve"> finansowych</w:t>
      </w:r>
      <w:r w:rsidRPr="00781BB0">
        <w:t>. W prz</w:t>
      </w:r>
      <w:r w:rsidRPr="00781BB0">
        <w:t>y</w:t>
      </w:r>
      <w:r w:rsidRPr="00781BB0">
        <w:t>padku eskalacji nierównowagi bank centralny powinien działać przeciwko tre</w:t>
      </w:r>
      <w:r w:rsidRPr="00781BB0">
        <w:t>n</w:t>
      </w:r>
      <w:r w:rsidRPr="00781BB0">
        <w:t xml:space="preserve">dowi, stopniowo podnosząc stopy procentowe, </w:t>
      </w:r>
      <w:r w:rsidR="0084132B">
        <w:t>ewentualnie jeśli koliduje to z </w:t>
      </w:r>
      <w:r w:rsidRPr="00781BB0">
        <w:t>sytuacją makroekonomiczną, wykorzystując inne narzędzia</w:t>
      </w:r>
      <w:r>
        <w:t xml:space="preserve"> [Siwiński 2012: 26</w:t>
      </w:r>
      <w:r w:rsidR="0028214A">
        <w:t>–</w:t>
      </w:r>
      <w:r>
        <w:t>27]</w:t>
      </w:r>
      <w:r w:rsidRPr="00781BB0">
        <w:t xml:space="preserve"> (stopę rezerw obowiązkowych, stopę kapitału własnego do aktywów, wartość depozytu zabezpieczającego dla instrumentów pochodnych, regulując wartość kredytu hipotecznego w stosunku do wartości nieruchomości). W ost</w:t>
      </w:r>
      <w:r w:rsidRPr="00781BB0">
        <w:t>a</w:t>
      </w:r>
      <w:r w:rsidRPr="00781BB0">
        <w:t>teczności należy przekłuć bąbel spekulacyjny. Włączenie cen aktywów do wska</w:t>
      </w:r>
      <w:r>
        <w:t>źnika cen towarów i usług wydaje</w:t>
      </w:r>
      <w:r w:rsidRPr="00781BB0">
        <w:t xml:space="preserve"> się dyskusyjne, ponieważ sytuacja na rynkach aktywów często nie jest w pełni zbieżna ze stanem gospodarki. To komplikowałoby prowadzenie skutecznej polityki pieniężnej.</w:t>
      </w:r>
    </w:p>
    <w:p w:rsidR="00714BBD" w:rsidRDefault="00714BBD" w:rsidP="00896A1C">
      <w:pPr>
        <w:pStyle w:val="FutureTekstpodstawowy"/>
        <w:spacing w:line="250" w:lineRule="exact"/>
      </w:pPr>
      <w:r>
        <w:t xml:space="preserve">Ukoronowaniem proponowanych zmian w zakresie przejęcia przez banki centralne odpowiedzialności za stabilność finansową stało się obarczenie tychże prowadzeniem </w:t>
      </w:r>
      <w:r w:rsidRPr="000D2C04">
        <w:t xml:space="preserve">polityki </w:t>
      </w:r>
      <w:proofErr w:type="spellStart"/>
      <w:r w:rsidRPr="000D2C04">
        <w:t>makroostrożnościowej</w:t>
      </w:r>
      <w:proofErr w:type="spellEnd"/>
      <w:r>
        <w:t xml:space="preserve">. </w:t>
      </w:r>
    </w:p>
    <w:p w:rsidR="00714BBD" w:rsidRDefault="00714BBD" w:rsidP="00896A1C">
      <w:pPr>
        <w:pStyle w:val="FutureTekstpodstawowy"/>
        <w:spacing w:line="250" w:lineRule="exact"/>
      </w:pPr>
      <w:r>
        <w:t>W przeciwieństwie do dotychczasowej polityki nadzorczej, która miała ch</w:t>
      </w:r>
      <w:r>
        <w:t>a</w:t>
      </w:r>
      <w:r>
        <w:t xml:space="preserve">rakter </w:t>
      </w:r>
      <w:proofErr w:type="spellStart"/>
      <w:r>
        <w:t>mikroostrożnościowy</w:t>
      </w:r>
      <w:proofErr w:type="spellEnd"/>
      <w:r>
        <w:t xml:space="preserve"> i oddziaływała na stabilność pojedynczych instyt</w:t>
      </w:r>
      <w:r>
        <w:t>u</w:t>
      </w:r>
      <w:r>
        <w:t xml:space="preserve">cji, celem polityki </w:t>
      </w:r>
      <w:proofErr w:type="spellStart"/>
      <w:r>
        <w:t>makroostrożnościowej</w:t>
      </w:r>
      <w:proofErr w:type="spellEnd"/>
      <w:r>
        <w:t xml:space="preserve"> jest stabilność całego systemu fina</w:t>
      </w:r>
      <w:r>
        <w:t>n</w:t>
      </w:r>
      <w:r>
        <w:t>sowego i jego wpływ na resztę gospodarki [</w:t>
      </w:r>
      <w:proofErr w:type="spellStart"/>
      <w:r>
        <w:t>Szpunar</w:t>
      </w:r>
      <w:proofErr w:type="spellEnd"/>
      <w:r>
        <w:t xml:space="preserve"> 2012: 8</w:t>
      </w:r>
      <w:r w:rsidR="0028214A">
        <w:t>–</w:t>
      </w:r>
      <w:r>
        <w:t>13]. Okazało się, że nie wystarczy analiza i kontrola poszczególnych podmiotów, niezwykle wa</w:t>
      </w:r>
      <w:r>
        <w:t>ż</w:t>
      </w:r>
      <w:r>
        <w:t>ne są zależności i interakcje pomiędzy nimi. Istnieje dość powszechna zgoda, że postępująca w latach poprzedzających kryzys deregulacja rynku posunęła się za daleko. Zakładano, że uczestnicy rynku finansowego mają przewagę nad na</w:t>
      </w:r>
      <w:r>
        <w:t>d</w:t>
      </w:r>
      <w:r>
        <w:t>zorcami w wycenie ryzyka i sami będą potrafili lepiej mierzyć i kontrolować ryzyko. W rzeczywistości deregulacja umożliwiła powstanie negatywnych efe</w:t>
      </w:r>
      <w:r>
        <w:t>k</w:t>
      </w:r>
      <w:r>
        <w:t xml:space="preserve">tów zewnętrznych i pokus nadużycia. Ponadto system regulacji zwiększał </w:t>
      </w:r>
      <w:proofErr w:type="spellStart"/>
      <w:r>
        <w:t>pr</w:t>
      </w:r>
      <w:r>
        <w:t>o</w:t>
      </w:r>
      <w:r>
        <w:t>cykliczność</w:t>
      </w:r>
      <w:proofErr w:type="spellEnd"/>
      <w:r>
        <w:t xml:space="preserve"> wyceny ryzyka, było ono zawyżane w czasach spowolnienia i zan</w:t>
      </w:r>
      <w:r>
        <w:t>i</w:t>
      </w:r>
      <w:r>
        <w:t xml:space="preserve">żane w okresie dobrej koniunktury. Polityka </w:t>
      </w:r>
      <w:proofErr w:type="spellStart"/>
      <w:r>
        <w:t>makroostrożnościowa</w:t>
      </w:r>
      <w:proofErr w:type="spellEnd"/>
      <w:r>
        <w:t xml:space="preserve"> powinna skupiać się na trzech celach [</w:t>
      </w:r>
      <w:proofErr w:type="spellStart"/>
      <w:r>
        <w:t>Bańbuła</w:t>
      </w:r>
      <w:proofErr w:type="spellEnd"/>
      <w:r>
        <w:t xml:space="preserve"> 2013: 57</w:t>
      </w:r>
      <w:r w:rsidR="0028214A">
        <w:t>–</w:t>
      </w:r>
      <w:r>
        <w:t>60]:</w:t>
      </w:r>
    </w:p>
    <w:p w:rsidR="00714BBD" w:rsidRDefault="00714BBD" w:rsidP="00896A1C">
      <w:pPr>
        <w:pStyle w:val="FutureWypunktowanie0"/>
        <w:spacing w:line="250" w:lineRule="exact"/>
      </w:pPr>
      <w:r>
        <w:t>ograniczeniu tej części ryzyka sys</w:t>
      </w:r>
      <w:r w:rsidR="0084132B">
        <w:t>temowego, która ma swe źródło w </w:t>
      </w:r>
      <w:r>
        <w:t>zawodności mechanizmu rynkowego, czyli ograniczenie i eliminowanie neg</w:t>
      </w:r>
      <w:r>
        <w:t>a</w:t>
      </w:r>
      <w:r>
        <w:t>tywnych efektów zewnętrznych,</w:t>
      </w:r>
    </w:p>
    <w:p w:rsidR="00714BBD" w:rsidRDefault="00714BBD" w:rsidP="00896A1C">
      <w:pPr>
        <w:pStyle w:val="FutureWypunktowanie0"/>
        <w:spacing w:line="250" w:lineRule="exact"/>
      </w:pPr>
      <w:r>
        <w:t>ograniczenie podatności systemu na błędy wyceny ryzyka,</w:t>
      </w:r>
    </w:p>
    <w:p w:rsidR="00714BBD" w:rsidRDefault="00714BBD" w:rsidP="00896A1C">
      <w:pPr>
        <w:pStyle w:val="FutureWypunktowanie0"/>
        <w:spacing w:line="250" w:lineRule="exact"/>
      </w:pPr>
      <w:r>
        <w:t>przeciwdziałaniu powstawaniu i narastaniu nierównowag finanso</w:t>
      </w:r>
      <w:r w:rsidR="0084132B">
        <w:t>wych w </w:t>
      </w:r>
      <w:r>
        <w:t>gospodarce.</w:t>
      </w:r>
    </w:p>
    <w:p w:rsidR="00714BBD" w:rsidRDefault="00714BBD" w:rsidP="0084132B">
      <w:pPr>
        <w:pStyle w:val="FutureTekstpodstawowy"/>
      </w:pPr>
      <w:r>
        <w:t xml:space="preserve">Polityka </w:t>
      </w:r>
      <w:proofErr w:type="spellStart"/>
      <w:r>
        <w:t>makroostrożnościowa</w:t>
      </w:r>
      <w:proofErr w:type="spellEnd"/>
      <w:r>
        <w:t xml:space="preserve"> jest w fazie budowy, dlatego nie ma jeszcze ściśle sprecyzowanych ram koncepcyjnych, modeli i narzędzi. W tej chwili p</w:t>
      </w:r>
      <w:r>
        <w:t>o</w:t>
      </w:r>
      <w:r>
        <w:t xml:space="preserve">sługuje się ona instrumentarium przejętym w dużej mierze od nadzoru </w:t>
      </w:r>
      <w:proofErr w:type="spellStart"/>
      <w:r>
        <w:t>mikr</w:t>
      </w:r>
      <w:r>
        <w:t>o</w:t>
      </w:r>
      <w:r>
        <w:t>ostrożnościowego</w:t>
      </w:r>
      <w:proofErr w:type="spellEnd"/>
      <w:r>
        <w:t xml:space="preserve"> – wskaźniki wysokości kapitałów banków czy warunków udzielania kredytów. Wymagana jest koordynacja polityki pieniężnej, w dotyc</w:t>
      </w:r>
      <w:r>
        <w:t>h</w:t>
      </w:r>
      <w:r>
        <w:t xml:space="preserve">czasowym rozumieniu i polityki </w:t>
      </w:r>
      <w:proofErr w:type="spellStart"/>
      <w:r>
        <w:t>makroostrożnościowej</w:t>
      </w:r>
      <w:proofErr w:type="spellEnd"/>
      <w:r>
        <w:t xml:space="preserve"> w obszarze kontroli agregatów pieniężnych i kredytowych oraz cen aktywów tradycyjnie nie zal</w:t>
      </w:r>
      <w:r>
        <w:t>i</w:t>
      </w:r>
      <w:r>
        <w:t>czanych do koszyka inflacji (nieruchomości, kursy akcji itp.).</w:t>
      </w:r>
    </w:p>
    <w:p w:rsidR="00714BBD" w:rsidRPr="005A63A9" w:rsidRDefault="00714BBD" w:rsidP="0084132B">
      <w:pPr>
        <w:pStyle w:val="FutureTekstpodstawowy"/>
      </w:pPr>
      <w:r>
        <w:t xml:space="preserve">Koordynacja polityki pieniężnej i </w:t>
      </w:r>
      <w:proofErr w:type="spellStart"/>
      <w:r>
        <w:t>makroostrożnościowej</w:t>
      </w:r>
      <w:proofErr w:type="spellEnd"/>
      <w:r>
        <w:t xml:space="preserve"> stwarza potrzebę nowych rozwiązań instytucjonalnych. W powstających instytucjach kluczową rolę powinny odgrywać banki centralne. Posiadają one odpowiednie doświa</w:t>
      </w:r>
      <w:r>
        <w:t>d</w:t>
      </w:r>
      <w:r>
        <w:t>czenie w przeprowadzaniu analiz gospodarczych, zaplecze analityczne, odp</w:t>
      </w:r>
      <w:r>
        <w:t>o</w:t>
      </w:r>
      <w:r>
        <w:t>wiednie instrumentarium i co istotne są niezależne. To gwarantuje sprawne zharmonizowanie obu polityk. Należy mieć nadzieję, że również w Polsce p</w:t>
      </w:r>
      <w:r>
        <w:t>o</w:t>
      </w:r>
      <w:r>
        <w:t>wstanie właściwy organ z dominującą rolą NBP. Spełnione zostałoby w ten sp</w:t>
      </w:r>
      <w:r>
        <w:t>o</w:t>
      </w:r>
      <w:r>
        <w:t xml:space="preserve">sób zalecenie Europejskiej Rady ds. Ryzyka Systemowego dotyczące powołania na szczeblu krajowym instytucji odpowiedzialnej za politykę </w:t>
      </w:r>
      <w:proofErr w:type="spellStart"/>
      <w:r>
        <w:t>makroostrożn</w:t>
      </w:r>
      <w:r>
        <w:t>o</w:t>
      </w:r>
      <w:r>
        <w:t>ściową</w:t>
      </w:r>
      <w:proofErr w:type="spellEnd"/>
      <w:r>
        <w:t xml:space="preserve"> [</w:t>
      </w:r>
      <w:r>
        <w:rPr>
          <w:i/>
        </w:rPr>
        <w:t>Zalecenie Europejskiej…</w:t>
      </w:r>
      <w:r>
        <w:t>]</w:t>
      </w:r>
    </w:p>
    <w:p w:rsidR="005F4276" w:rsidRDefault="00714BBD" w:rsidP="0084132B">
      <w:pPr>
        <w:pStyle w:val="FutureTekstpodstawowy"/>
      </w:pPr>
      <w:r>
        <w:t xml:space="preserve">Doświadczenia ostatnich lat zaowocowały również </w:t>
      </w:r>
      <w:r w:rsidR="00896A1C">
        <w:t>propozycją zmian w </w:t>
      </w:r>
      <w:r>
        <w:t>funkcjonowaniu samego NBP, propozycją zwiększenia jego uprawnień. Ostatnie lata pokazały, że dotychczasowe instrumentarium wykorzystywane przez instytucje monetarne jest niewystarczające.</w:t>
      </w:r>
      <w:r w:rsidR="00896A1C">
        <w:t xml:space="preserve"> Projekt założeń do zmian w </w:t>
      </w:r>
      <w:r>
        <w:t>ustawie o Narodowym Banku Polskim przewiduje między innymi możliwość kupna i sprzedaży przez NBP dłużnych papierów wartościowych na rynku wtó</w:t>
      </w:r>
      <w:r>
        <w:t>r</w:t>
      </w:r>
      <w:r>
        <w:t>nym poza operacjami otwartego rynku. Proponowana zmiana wynika z praktyki działań wielu banków centralnych w okresie kryzysowym i może przyczynić się do utrzymania stabilności finansowej oraz wsparcia polityki gospodarczej. Z</w:t>
      </w:r>
      <w:r>
        <w:t>a</w:t>
      </w:r>
      <w:r>
        <w:t>kup obligacji skarbowych przez bank centralny na rynku wtórnym automatyc</w:t>
      </w:r>
      <w:r>
        <w:t>z</w:t>
      </w:r>
      <w:r>
        <w:t>nie podnosi ich cenę, czyli obniża rentowność. Niższa rentowność to niższy koszt obsługi długu publicznego. Korzyść wydaje się oczywista. Drugim isto</w:t>
      </w:r>
      <w:r>
        <w:t>t</w:t>
      </w:r>
      <w:r>
        <w:t>nym aspektem nowych uprawnień jest możliwość reagowania w sytuacjach kr</w:t>
      </w:r>
      <w:r>
        <w:t>y</w:t>
      </w:r>
      <w:r>
        <w:t>zysowych. Polska jako kraj zaliczany póki co do rynków wschodzących jest narażona na ataki spekulacyjne. W ich trakcie dochodzi do wyprzedaży przez zagranicznych inwestorów papierów wartościowych, w tym obligacji. Ich re</w:t>
      </w:r>
      <w:r>
        <w:t>n</w:t>
      </w:r>
      <w:r>
        <w:t>towności gwałtownie rosną</w:t>
      </w:r>
      <w:r w:rsidR="00D52901">
        <w:t>,</w:t>
      </w:r>
      <w:r>
        <w:t xml:space="preserve"> a krajowa waluta osłabia się. Tego typu sytuacje wielokrotnie były przyczynami załamań koniunktury w różnych częściach świ</w:t>
      </w:r>
      <w:r>
        <w:t>a</w:t>
      </w:r>
      <w:r>
        <w:t>ta, ostatnio w krajach południa Europy. Wyposażenie NBP w proponowane n</w:t>
      </w:r>
      <w:r>
        <w:t>a</w:t>
      </w:r>
      <w:r>
        <w:t>rzędzia stwarza dodatkowy bufor bezpieczeństwa. Niebezpieczeństwo stanowi pokusa finansowania budżetu przez NBP i ograniczenie jego niezależności, dl</w:t>
      </w:r>
      <w:r>
        <w:t>a</w:t>
      </w:r>
      <w:r>
        <w:t>tego należy odpowiednio obwarować zapisy ustawy</w:t>
      </w:r>
      <w:r w:rsidR="005F4276" w:rsidRPr="00DA708D">
        <w:t xml:space="preserve">. </w:t>
      </w:r>
    </w:p>
    <w:p w:rsidR="005F4276" w:rsidRPr="00F16B10" w:rsidRDefault="00896A1C" w:rsidP="005F4276">
      <w:pPr>
        <w:pStyle w:val="FutureTyturozdziau"/>
      </w:pPr>
      <w:r>
        <w:t>PODSUMOWANIE</w:t>
      </w:r>
    </w:p>
    <w:p w:rsidR="00027DC4" w:rsidRPr="00896A1C" w:rsidRDefault="00896A1C" w:rsidP="00896A1C">
      <w:pPr>
        <w:pStyle w:val="FutureTekstpodstawowy"/>
      </w:pPr>
      <w:r w:rsidRPr="00896A1C">
        <w:t>Celem artykułu było wykazanie coraz ściślejszych zależności między pol</w:t>
      </w:r>
      <w:r w:rsidRPr="00896A1C">
        <w:t>i</w:t>
      </w:r>
      <w:r w:rsidRPr="00896A1C">
        <w:t>tyką monetarną, koniunkturą gospodarczą i zachowaniem rynków finansowych, a także dowiedzenie znaczenia stabilności finansowej dla prawidłowego fun</w:t>
      </w:r>
      <w:r w:rsidRPr="00896A1C">
        <w:t>k</w:t>
      </w:r>
      <w:r w:rsidRPr="00896A1C">
        <w:t>cjonowania gospodarek.  Hipoteza postawiona przez autora została potwierdz</w:t>
      </w:r>
      <w:r w:rsidRPr="00896A1C">
        <w:t>o</w:t>
      </w:r>
      <w:r w:rsidRPr="00896A1C">
        <w:t>na na podstawie doświadczeń amerykańskich. Luźna polityka pieniężna Systemu Rezerwy Federalnej w latach</w:t>
      </w:r>
      <w:r>
        <w:t xml:space="preserve"> 2001–</w:t>
      </w:r>
      <w:r w:rsidRPr="00896A1C">
        <w:t>2004 przyczyniła się do szybkiego wzrostu gospodarczego, ale jednocześnie „wyhodowała” bańki spekulacyjne na rynkach nieruchomości i akcji. Pęknięcie tych baniek – w 2007 r</w:t>
      </w:r>
      <w:r>
        <w:t>.</w:t>
      </w:r>
      <w:r w:rsidRPr="00896A1C">
        <w:t xml:space="preserve"> – spowodowało na</w:t>
      </w:r>
      <w:r w:rsidRPr="00896A1C">
        <w:t>j</w:t>
      </w:r>
      <w:r w:rsidRPr="00896A1C">
        <w:t>głębszy kryzys ekonomiczny od czasów drugiej wojny światowej. Widać więc, że załamanie koniunktury na rynkach finansowych błyskawicznie przenosi się na całą gospodarkę. Późniejsza, wyjątkowo ekspansywna polityka FED pomogła gospodarce amerykańskiej w szybkim tempie wyjść z recesji [</w:t>
      </w:r>
      <w:r w:rsidRPr="001D4064">
        <w:rPr>
          <w:i/>
        </w:rPr>
        <w:t xml:space="preserve">Global </w:t>
      </w:r>
      <w:proofErr w:type="spellStart"/>
      <w:r w:rsidRPr="001D4064">
        <w:rPr>
          <w:i/>
        </w:rPr>
        <w:t>Impact</w:t>
      </w:r>
      <w:proofErr w:type="spellEnd"/>
      <w:r w:rsidRPr="001D4064">
        <w:rPr>
          <w:i/>
        </w:rPr>
        <w:t>...</w:t>
      </w:r>
      <w:r w:rsidR="001D4064">
        <w:t>, 2013</w:t>
      </w:r>
      <w:r w:rsidRPr="00896A1C">
        <w:t xml:space="preserve">], </w:t>
      </w:r>
      <w:r w:rsidR="00D52901">
        <w:t>z</w:t>
      </w:r>
      <w:r w:rsidRPr="00896A1C">
        <w:t>a</w:t>
      </w:r>
      <w:r w:rsidR="00D52901">
        <w:t>ś</w:t>
      </w:r>
      <w:r w:rsidRPr="00896A1C">
        <w:t xml:space="preserve"> na rynku nieruchomości, a szczególnie akcji wywołała wielką hossę. Sprowokowanie wzrostów na tych rynkach było jednym z istotniejszych celów programów luzowania ilościowego (ze względu na efekt majątkowy). Oznacza to, że sytuacja w sektorze finansowym w dużym stopniu wpływa na politykę FED. Wiąże się z tym potrzeba zapewnienia stabilności systemu finansowego. Kwestia ta stała się, po ostatnim kryzysie ważny</w:t>
      </w:r>
      <w:r w:rsidR="008C6B69">
        <w:t>m zadaniem banków centra</w:t>
      </w:r>
      <w:r w:rsidR="008C6B69">
        <w:t>l</w:t>
      </w:r>
      <w:r w:rsidR="008C6B69">
        <w:t>nych w </w:t>
      </w:r>
      <w:r w:rsidRPr="00896A1C">
        <w:t xml:space="preserve">ramach prowadzonej przez nie polityki </w:t>
      </w:r>
      <w:proofErr w:type="spellStart"/>
      <w:r w:rsidRPr="00896A1C">
        <w:t>makroostrożnościowej</w:t>
      </w:r>
      <w:proofErr w:type="spellEnd"/>
      <w:r w:rsidR="00027DC4" w:rsidRPr="00896A1C">
        <w:t>.</w:t>
      </w:r>
    </w:p>
    <w:p w:rsidR="000C7A44" w:rsidRPr="00027DC4" w:rsidRDefault="000C7A44" w:rsidP="000C7A44">
      <w:pPr>
        <w:pStyle w:val="FutureTyturozdziau"/>
      </w:pPr>
      <w:r>
        <w:t>bibliografia</w:t>
      </w:r>
    </w:p>
    <w:p w:rsidR="008C6B69" w:rsidRPr="008C6B69" w:rsidRDefault="008C6B69" w:rsidP="008C6B69">
      <w:pPr>
        <w:pStyle w:val="FutureBibliografiapublikacje"/>
        <w:rPr>
          <w:szCs w:val="20"/>
        </w:rPr>
      </w:pPr>
      <w:proofErr w:type="spellStart"/>
      <w:r w:rsidRPr="008C6B69">
        <w:rPr>
          <w:szCs w:val="20"/>
        </w:rPr>
        <w:t>Bańbuła</w:t>
      </w:r>
      <w:proofErr w:type="spellEnd"/>
      <w:r w:rsidRPr="008C6B69">
        <w:rPr>
          <w:szCs w:val="20"/>
        </w:rPr>
        <w:t xml:space="preserve"> P.,</w:t>
      </w:r>
      <w:r>
        <w:rPr>
          <w:szCs w:val="20"/>
        </w:rPr>
        <w:t xml:space="preserve"> 2013,</w:t>
      </w:r>
      <w:r w:rsidRPr="008C6B69">
        <w:rPr>
          <w:szCs w:val="20"/>
        </w:rPr>
        <w:t xml:space="preserve"> </w:t>
      </w:r>
      <w:r w:rsidRPr="008C6B69">
        <w:rPr>
          <w:i/>
          <w:szCs w:val="20"/>
        </w:rPr>
        <w:t xml:space="preserve">Polityka </w:t>
      </w:r>
      <w:proofErr w:type="spellStart"/>
      <w:r w:rsidRPr="008C6B69">
        <w:rPr>
          <w:i/>
          <w:szCs w:val="20"/>
        </w:rPr>
        <w:t>makroostrożnościowa</w:t>
      </w:r>
      <w:proofErr w:type="spellEnd"/>
      <w:r w:rsidRPr="008C6B69">
        <w:rPr>
          <w:i/>
          <w:szCs w:val="20"/>
        </w:rPr>
        <w:t>: Przesłanki, cele, instrumenty i wyzwania</w:t>
      </w:r>
      <w:r w:rsidRPr="008C6B69">
        <w:rPr>
          <w:szCs w:val="20"/>
        </w:rPr>
        <w:t xml:space="preserve">, </w:t>
      </w:r>
      <w:r>
        <w:rPr>
          <w:szCs w:val="20"/>
        </w:rPr>
        <w:t>„</w:t>
      </w:r>
      <w:r w:rsidRPr="008C6B69">
        <w:rPr>
          <w:szCs w:val="20"/>
        </w:rPr>
        <w:t>NBP Materiały i studia</w:t>
      </w:r>
      <w:r>
        <w:rPr>
          <w:szCs w:val="20"/>
        </w:rPr>
        <w:t>”</w:t>
      </w:r>
      <w:r w:rsidRPr="008C6B69">
        <w:rPr>
          <w:szCs w:val="20"/>
        </w:rPr>
        <w:t>, Zeszyt nr 298, Warszawa</w:t>
      </w:r>
      <w:r>
        <w:rPr>
          <w:szCs w:val="20"/>
        </w:rPr>
        <w:t>.</w:t>
      </w:r>
    </w:p>
    <w:p w:rsidR="008C6B69" w:rsidRPr="008C6B69" w:rsidRDefault="008C6B69" w:rsidP="008C6B69">
      <w:pPr>
        <w:pStyle w:val="FutureBibliografiapublikacje"/>
        <w:rPr>
          <w:szCs w:val="20"/>
        </w:rPr>
      </w:pPr>
      <w:r w:rsidRPr="008C6B69">
        <w:rPr>
          <w:szCs w:val="20"/>
        </w:rPr>
        <w:t xml:space="preserve">Belka M., </w:t>
      </w:r>
      <w:r w:rsidRPr="008C6B69">
        <w:rPr>
          <w:i/>
          <w:szCs w:val="20"/>
        </w:rPr>
        <w:t>Polityka pieniężna Narodowego Banku Polskiego</w:t>
      </w:r>
      <w:r w:rsidRPr="008C6B69">
        <w:rPr>
          <w:szCs w:val="20"/>
        </w:rPr>
        <w:t>,</w:t>
      </w:r>
      <w:r>
        <w:rPr>
          <w:szCs w:val="20"/>
        </w:rPr>
        <w:t xml:space="preserve"> www.polishmarket.pl [dostęp: </w:t>
      </w:r>
      <w:r w:rsidRPr="008C6B69">
        <w:rPr>
          <w:szCs w:val="20"/>
        </w:rPr>
        <w:t>30</w:t>
      </w:r>
      <w:r>
        <w:rPr>
          <w:szCs w:val="20"/>
        </w:rPr>
        <w:t>.</w:t>
      </w:r>
      <w:r w:rsidRPr="008C6B69">
        <w:rPr>
          <w:szCs w:val="20"/>
        </w:rPr>
        <w:t>01</w:t>
      </w:r>
      <w:r>
        <w:rPr>
          <w:szCs w:val="20"/>
        </w:rPr>
        <w:t>.</w:t>
      </w:r>
      <w:r w:rsidRPr="008C6B69">
        <w:rPr>
          <w:szCs w:val="20"/>
        </w:rPr>
        <w:t>2013</w:t>
      </w:r>
      <w:r>
        <w:rPr>
          <w:szCs w:val="20"/>
        </w:rPr>
        <w:t>]</w:t>
      </w:r>
      <w:r w:rsidR="00D52901">
        <w:rPr>
          <w:szCs w:val="20"/>
        </w:rPr>
        <w:t>.</w:t>
      </w:r>
    </w:p>
    <w:p w:rsidR="008C6B69" w:rsidRPr="008C6B69" w:rsidRDefault="008C6B69" w:rsidP="008C6B69">
      <w:pPr>
        <w:pStyle w:val="FutureBibliografiapublikacje"/>
        <w:rPr>
          <w:szCs w:val="20"/>
          <w:lang w:val="en-US"/>
        </w:rPr>
      </w:pPr>
      <w:r w:rsidRPr="008C6B69">
        <w:rPr>
          <w:szCs w:val="20"/>
          <w:lang w:val="en-US"/>
        </w:rPr>
        <w:t xml:space="preserve">Burns A. F., Mitchell W. C., 1946, </w:t>
      </w:r>
      <w:r w:rsidRPr="008C6B69">
        <w:rPr>
          <w:i/>
          <w:szCs w:val="20"/>
          <w:lang w:val="en-US"/>
        </w:rPr>
        <w:t>Measuring Business Cycles</w:t>
      </w:r>
      <w:r w:rsidRPr="008C6B69">
        <w:rPr>
          <w:szCs w:val="20"/>
          <w:lang w:val="en-US"/>
        </w:rPr>
        <w:t>, NBER. New York.</w:t>
      </w:r>
    </w:p>
    <w:p w:rsidR="008C6B69" w:rsidRPr="008C6B69" w:rsidRDefault="008C6B69" w:rsidP="008C6B69">
      <w:pPr>
        <w:pStyle w:val="FutureBibliografiapublikacje"/>
        <w:rPr>
          <w:szCs w:val="20"/>
          <w:lang w:val="en-US"/>
        </w:rPr>
      </w:pPr>
      <w:proofErr w:type="spellStart"/>
      <w:r w:rsidRPr="008C6B69">
        <w:rPr>
          <w:szCs w:val="20"/>
          <w:lang w:val="en-US"/>
        </w:rPr>
        <w:t>Cecioni</w:t>
      </w:r>
      <w:proofErr w:type="spellEnd"/>
      <w:r w:rsidRPr="008C6B69">
        <w:rPr>
          <w:szCs w:val="20"/>
          <w:lang w:val="en-US"/>
        </w:rPr>
        <w:t xml:space="preserve"> M., </w:t>
      </w:r>
      <w:proofErr w:type="spellStart"/>
      <w:r w:rsidRPr="008C6B69">
        <w:rPr>
          <w:szCs w:val="20"/>
          <w:lang w:val="en-US"/>
        </w:rPr>
        <w:t>Ferrero</w:t>
      </w:r>
      <w:proofErr w:type="spellEnd"/>
      <w:r w:rsidRPr="008C6B69">
        <w:rPr>
          <w:szCs w:val="20"/>
          <w:lang w:val="en-US"/>
        </w:rPr>
        <w:t xml:space="preserve"> G., </w:t>
      </w:r>
      <w:proofErr w:type="spellStart"/>
      <w:r w:rsidRPr="008C6B69">
        <w:rPr>
          <w:szCs w:val="20"/>
          <w:lang w:val="en-US"/>
        </w:rPr>
        <w:t>Secchi</w:t>
      </w:r>
      <w:proofErr w:type="spellEnd"/>
      <w:r w:rsidRPr="008C6B69">
        <w:rPr>
          <w:szCs w:val="20"/>
          <w:lang w:val="en-US"/>
        </w:rPr>
        <w:t xml:space="preserve"> A., 2011, </w:t>
      </w:r>
      <w:r w:rsidRPr="008C6B69">
        <w:rPr>
          <w:i/>
          <w:szCs w:val="20"/>
          <w:lang w:val="en-US"/>
        </w:rPr>
        <w:t>Unconventional monetary policy in theory and in pra</w:t>
      </w:r>
      <w:r w:rsidRPr="008C6B69">
        <w:rPr>
          <w:i/>
          <w:szCs w:val="20"/>
          <w:lang w:val="en-US"/>
        </w:rPr>
        <w:t>c</w:t>
      </w:r>
      <w:r w:rsidRPr="008C6B69">
        <w:rPr>
          <w:i/>
          <w:szCs w:val="20"/>
          <w:lang w:val="en-US"/>
        </w:rPr>
        <w:t>tice</w:t>
      </w:r>
      <w:r w:rsidRPr="008C6B69">
        <w:rPr>
          <w:szCs w:val="20"/>
          <w:lang w:val="en-US"/>
        </w:rPr>
        <w:t>, „Bank of Italy Occasional Papers”, No. 102</w:t>
      </w:r>
      <w:r>
        <w:rPr>
          <w:szCs w:val="20"/>
          <w:lang w:val="en-US"/>
        </w:rPr>
        <w:t>.</w:t>
      </w:r>
    </w:p>
    <w:p w:rsidR="008C6B69" w:rsidRPr="008C6B69" w:rsidRDefault="008C6B69" w:rsidP="008C6B69">
      <w:pPr>
        <w:pStyle w:val="FutureBibliografiapublikacje"/>
        <w:rPr>
          <w:szCs w:val="20"/>
          <w:lang w:val="en-US"/>
        </w:rPr>
      </w:pPr>
      <w:proofErr w:type="spellStart"/>
      <w:r w:rsidRPr="008C6B69">
        <w:rPr>
          <w:szCs w:val="20"/>
          <w:lang w:val="en-US"/>
        </w:rPr>
        <w:t>Claessens</w:t>
      </w:r>
      <w:proofErr w:type="spellEnd"/>
      <w:r w:rsidRPr="008C6B69">
        <w:rPr>
          <w:szCs w:val="20"/>
          <w:lang w:val="en-US"/>
        </w:rPr>
        <w:t xml:space="preserve"> S., </w:t>
      </w:r>
      <w:proofErr w:type="spellStart"/>
      <w:r w:rsidRPr="008C6B69">
        <w:rPr>
          <w:szCs w:val="20"/>
          <w:lang w:val="en-US"/>
        </w:rPr>
        <w:t>Kose</w:t>
      </w:r>
      <w:proofErr w:type="spellEnd"/>
      <w:r w:rsidRPr="008C6B69">
        <w:rPr>
          <w:szCs w:val="20"/>
          <w:lang w:val="en-US"/>
        </w:rPr>
        <w:t xml:space="preserve"> M. A., </w:t>
      </w:r>
      <w:proofErr w:type="spellStart"/>
      <w:r w:rsidRPr="008C6B69">
        <w:rPr>
          <w:szCs w:val="20"/>
          <w:lang w:val="en-US"/>
        </w:rPr>
        <w:t>Terrones</w:t>
      </w:r>
      <w:proofErr w:type="spellEnd"/>
      <w:r w:rsidRPr="008C6B69">
        <w:rPr>
          <w:szCs w:val="20"/>
          <w:lang w:val="en-US"/>
        </w:rPr>
        <w:t xml:space="preserve"> M., 2008, </w:t>
      </w:r>
      <w:r w:rsidRPr="008C6B69">
        <w:rPr>
          <w:i/>
          <w:szCs w:val="20"/>
          <w:lang w:val="en-US"/>
        </w:rPr>
        <w:t>What Happens during Recession Crunches and Busts?</w:t>
      </w:r>
      <w:r>
        <w:rPr>
          <w:szCs w:val="20"/>
          <w:lang w:val="en-US"/>
        </w:rPr>
        <w:t>,</w:t>
      </w:r>
      <w:r w:rsidRPr="008C6B69">
        <w:rPr>
          <w:szCs w:val="20"/>
          <w:lang w:val="en-US"/>
        </w:rPr>
        <w:t xml:space="preserve"> IMF.</w:t>
      </w:r>
    </w:p>
    <w:p w:rsidR="008C6B69" w:rsidRPr="008C6B69" w:rsidRDefault="008C6B69" w:rsidP="008C6B69">
      <w:pPr>
        <w:pStyle w:val="FutureBibliografiapublikacje"/>
        <w:rPr>
          <w:szCs w:val="20"/>
        </w:rPr>
      </w:pPr>
      <w:r w:rsidRPr="008C6B69">
        <w:rPr>
          <w:szCs w:val="20"/>
        </w:rPr>
        <w:t>De Soto J. H.,</w:t>
      </w:r>
      <w:r>
        <w:rPr>
          <w:szCs w:val="20"/>
        </w:rPr>
        <w:t xml:space="preserve"> 2009,</w:t>
      </w:r>
      <w:r w:rsidRPr="008C6B69">
        <w:rPr>
          <w:szCs w:val="20"/>
        </w:rPr>
        <w:t xml:space="preserve"> </w:t>
      </w:r>
      <w:r w:rsidRPr="008C6B69">
        <w:rPr>
          <w:i/>
          <w:szCs w:val="20"/>
        </w:rPr>
        <w:t>Pieniądz, kredyt bankowy i cykle koniunkturalne</w:t>
      </w:r>
      <w:r w:rsidRPr="008C6B69">
        <w:rPr>
          <w:szCs w:val="20"/>
        </w:rPr>
        <w:t xml:space="preserve">, Instytut Ludwiga von </w:t>
      </w:r>
      <w:proofErr w:type="spellStart"/>
      <w:r w:rsidRPr="008C6B69">
        <w:rPr>
          <w:szCs w:val="20"/>
        </w:rPr>
        <w:t>Mis</w:t>
      </w:r>
      <w:r w:rsidRPr="008C6B69">
        <w:rPr>
          <w:szCs w:val="20"/>
        </w:rPr>
        <w:t>e</w:t>
      </w:r>
      <w:r w:rsidRPr="008C6B69">
        <w:rPr>
          <w:szCs w:val="20"/>
        </w:rPr>
        <w:t>sa</w:t>
      </w:r>
      <w:proofErr w:type="spellEnd"/>
      <w:r w:rsidRPr="008C6B69">
        <w:rPr>
          <w:szCs w:val="20"/>
        </w:rPr>
        <w:t>, Warszawa</w:t>
      </w:r>
      <w:r>
        <w:rPr>
          <w:szCs w:val="20"/>
        </w:rPr>
        <w:t>.</w:t>
      </w:r>
    </w:p>
    <w:p w:rsidR="008C6B69" w:rsidRPr="008C6B69" w:rsidRDefault="008C6B69" w:rsidP="008C6B69">
      <w:pPr>
        <w:pStyle w:val="FutureBibliografiapublikacje"/>
        <w:rPr>
          <w:szCs w:val="20"/>
        </w:rPr>
      </w:pPr>
      <w:proofErr w:type="spellStart"/>
      <w:r>
        <w:rPr>
          <w:szCs w:val="20"/>
        </w:rPr>
        <w:t>Drozdowicz-</w:t>
      </w:r>
      <w:r w:rsidRPr="008C6B69">
        <w:rPr>
          <w:szCs w:val="20"/>
        </w:rPr>
        <w:t>Bieć</w:t>
      </w:r>
      <w:proofErr w:type="spellEnd"/>
      <w:r w:rsidRPr="008C6B69">
        <w:rPr>
          <w:szCs w:val="20"/>
        </w:rPr>
        <w:t xml:space="preserve">  M.,</w:t>
      </w:r>
      <w:r>
        <w:rPr>
          <w:szCs w:val="20"/>
        </w:rPr>
        <w:t xml:space="preserve"> 2012,</w:t>
      </w:r>
      <w:r w:rsidRPr="008C6B69">
        <w:rPr>
          <w:szCs w:val="20"/>
        </w:rPr>
        <w:t xml:space="preserve"> </w:t>
      </w:r>
      <w:r w:rsidRPr="008C6B69">
        <w:rPr>
          <w:i/>
          <w:szCs w:val="20"/>
        </w:rPr>
        <w:t>Cykle i wskaźniki koniunktury</w:t>
      </w:r>
      <w:r w:rsidRPr="008C6B69">
        <w:rPr>
          <w:szCs w:val="20"/>
        </w:rPr>
        <w:t xml:space="preserve">, </w:t>
      </w:r>
      <w:proofErr w:type="spellStart"/>
      <w:r w:rsidRPr="008C6B69">
        <w:rPr>
          <w:szCs w:val="20"/>
        </w:rPr>
        <w:t>Poltext</w:t>
      </w:r>
      <w:proofErr w:type="spellEnd"/>
      <w:r w:rsidRPr="008C6B69">
        <w:rPr>
          <w:szCs w:val="20"/>
        </w:rPr>
        <w:t>, Warszawa</w:t>
      </w:r>
      <w:r>
        <w:rPr>
          <w:szCs w:val="20"/>
        </w:rPr>
        <w:t>.</w:t>
      </w:r>
    </w:p>
    <w:p w:rsidR="008C6B69" w:rsidRPr="008C6B69" w:rsidRDefault="008C6B69" w:rsidP="008C6B69">
      <w:pPr>
        <w:pStyle w:val="FutureBibliografiapublikacje"/>
        <w:rPr>
          <w:szCs w:val="20"/>
          <w:lang w:val="en-US"/>
        </w:rPr>
      </w:pPr>
      <w:r w:rsidRPr="008C6B69">
        <w:rPr>
          <w:i/>
          <w:szCs w:val="20"/>
          <w:lang w:val="en-US"/>
        </w:rPr>
        <w:t>Global Impact and Challenges of Unconventional Monetary Policies</w:t>
      </w:r>
      <w:r w:rsidRPr="008C6B69">
        <w:rPr>
          <w:szCs w:val="20"/>
          <w:lang w:val="en-US"/>
        </w:rPr>
        <w:t>, 2013, IMF Police Paper, October</w:t>
      </w:r>
      <w:r>
        <w:rPr>
          <w:szCs w:val="20"/>
          <w:lang w:val="en-US"/>
        </w:rPr>
        <w:t>.</w:t>
      </w:r>
    </w:p>
    <w:p w:rsidR="008C6B69" w:rsidRPr="008C6B69" w:rsidRDefault="008C6B69" w:rsidP="008C6B69">
      <w:pPr>
        <w:pStyle w:val="FutureBibliografiapublikacje"/>
        <w:rPr>
          <w:szCs w:val="20"/>
          <w:lang w:val="en-US"/>
        </w:rPr>
      </w:pPr>
      <w:proofErr w:type="spellStart"/>
      <w:r w:rsidRPr="008C6B69">
        <w:rPr>
          <w:szCs w:val="20"/>
          <w:lang w:val="en-US"/>
        </w:rPr>
        <w:t>Issing</w:t>
      </w:r>
      <w:proofErr w:type="spellEnd"/>
      <w:r w:rsidRPr="008C6B69">
        <w:rPr>
          <w:szCs w:val="20"/>
          <w:lang w:val="en-US"/>
        </w:rPr>
        <w:t xml:space="preserve"> O., 2009, </w:t>
      </w:r>
      <w:r w:rsidRPr="008C6B69">
        <w:rPr>
          <w:i/>
          <w:szCs w:val="20"/>
          <w:lang w:val="en-US"/>
        </w:rPr>
        <w:t>Asset Prices and Monetary Policy</w:t>
      </w:r>
      <w:r w:rsidRPr="008C6B69">
        <w:rPr>
          <w:szCs w:val="20"/>
          <w:lang w:val="en-US"/>
        </w:rPr>
        <w:t xml:space="preserve">, </w:t>
      </w:r>
      <w:r>
        <w:rPr>
          <w:szCs w:val="20"/>
          <w:lang w:val="en-US"/>
        </w:rPr>
        <w:t>„Cato Journal”</w:t>
      </w:r>
      <w:r w:rsidR="00D52901">
        <w:rPr>
          <w:szCs w:val="20"/>
          <w:lang w:val="en-US"/>
        </w:rPr>
        <w:t>, v</w:t>
      </w:r>
      <w:r w:rsidRPr="008C6B69">
        <w:rPr>
          <w:szCs w:val="20"/>
          <w:lang w:val="en-US"/>
        </w:rPr>
        <w:t xml:space="preserve">ol. 29, </w:t>
      </w:r>
      <w:r w:rsidR="00D52901">
        <w:rPr>
          <w:szCs w:val="20"/>
          <w:lang w:val="en-US"/>
        </w:rPr>
        <w:t>n</w:t>
      </w:r>
      <w:r w:rsidRPr="008C6B69">
        <w:rPr>
          <w:szCs w:val="20"/>
          <w:lang w:val="en-US"/>
        </w:rPr>
        <w:t>o. 1</w:t>
      </w:r>
      <w:r>
        <w:rPr>
          <w:szCs w:val="20"/>
          <w:lang w:val="en-US"/>
        </w:rPr>
        <w:t>.</w:t>
      </w:r>
    </w:p>
    <w:p w:rsidR="008C6B69" w:rsidRPr="008C6B69" w:rsidRDefault="008C6B69" w:rsidP="008C6B69">
      <w:pPr>
        <w:pStyle w:val="FutureBibliografiapublikacje"/>
        <w:rPr>
          <w:szCs w:val="20"/>
          <w:shd w:val="clear" w:color="auto" w:fill="FFFFFF"/>
          <w:lang w:val="en-US"/>
        </w:rPr>
      </w:pPr>
      <w:proofErr w:type="spellStart"/>
      <w:r w:rsidRPr="008C6B69">
        <w:rPr>
          <w:szCs w:val="20"/>
          <w:shd w:val="clear" w:color="auto" w:fill="FFFFFF"/>
          <w:lang w:val="en-US"/>
        </w:rPr>
        <w:t>Kydland</w:t>
      </w:r>
      <w:proofErr w:type="spellEnd"/>
      <w:r w:rsidRPr="008C6B69">
        <w:rPr>
          <w:szCs w:val="20"/>
          <w:shd w:val="clear" w:color="auto" w:fill="FFFFFF"/>
          <w:lang w:val="en-US"/>
        </w:rPr>
        <w:t xml:space="preserve"> F. E., Prescott E. C., 1982,</w:t>
      </w:r>
      <w:r w:rsidRPr="008C6B69">
        <w:rPr>
          <w:rStyle w:val="apple-converted-space"/>
          <w:szCs w:val="20"/>
          <w:shd w:val="clear" w:color="auto" w:fill="FFFFFF"/>
          <w:lang w:val="en-US"/>
        </w:rPr>
        <w:t> </w:t>
      </w:r>
      <w:r w:rsidRPr="008C6B69">
        <w:rPr>
          <w:i/>
          <w:szCs w:val="20"/>
          <w:shd w:val="clear" w:color="auto" w:fill="FFFFFF"/>
          <w:lang w:val="en-US"/>
        </w:rPr>
        <w:t>Time to build and Aggregate Fluctuations</w:t>
      </w:r>
      <w:r w:rsidRPr="008C6B69">
        <w:rPr>
          <w:szCs w:val="20"/>
          <w:shd w:val="clear" w:color="auto" w:fill="FFFFFF"/>
          <w:lang w:val="en-US"/>
        </w:rPr>
        <w:t>, „</w:t>
      </w:r>
      <w:proofErr w:type="spellStart"/>
      <w:r w:rsidRPr="008C6B69">
        <w:rPr>
          <w:szCs w:val="20"/>
          <w:shd w:val="clear" w:color="auto" w:fill="FFFFFF"/>
          <w:lang w:val="en-US"/>
        </w:rPr>
        <w:t>Econometrica</w:t>
      </w:r>
      <w:proofErr w:type="spellEnd"/>
      <w:r w:rsidRPr="008C6B69">
        <w:rPr>
          <w:szCs w:val="20"/>
          <w:shd w:val="clear" w:color="auto" w:fill="FFFFFF"/>
          <w:lang w:val="en-US"/>
        </w:rPr>
        <w:t>”, vol. 50, n</w:t>
      </w:r>
      <w:r>
        <w:rPr>
          <w:szCs w:val="20"/>
          <w:shd w:val="clear" w:color="auto" w:fill="FFFFFF"/>
          <w:lang w:val="en-US"/>
        </w:rPr>
        <w:t>o.</w:t>
      </w:r>
      <w:r w:rsidRPr="008C6B69">
        <w:rPr>
          <w:szCs w:val="20"/>
          <w:shd w:val="clear" w:color="auto" w:fill="FFFFFF"/>
          <w:lang w:val="en-US"/>
        </w:rPr>
        <w:t xml:space="preserve"> 6</w:t>
      </w:r>
      <w:r>
        <w:rPr>
          <w:szCs w:val="20"/>
          <w:shd w:val="clear" w:color="auto" w:fill="FFFFFF"/>
          <w:lang w:val="en-US"/>
        </w:rPr>
        <w:t>.</w:t>
      </w:r>
    </w:p>
    <w:p w:rsidR="008C6B69" w:rsidRPr="008C6B69" w:rsidRDefault="008C6B69" w:rsidP="008C6B69">
      <w:pPr>
        <w:pStyle w:val="FutureBibliografiapublikacje"/>
        <w:rPr>
          <w:szCs w:val="20"/>
        </w:rPr>
      </w:pPr>
      <w:r w:rsidRPr="008C6B69">
        <w:rPr>
          <w:szCs w:val="20"/>
        </w:rPr>
        <w:t>Piotrowski D., Piotrowska A.,</w:t>
      </w:r>
      <w:r>
        <w:rPr>
          <w:szCs w:val="20"/>
        </w:rPr>
        <w:t xml:space="preserve"> 2012,</w:t>
      </w:r>
      <w:r w:rsidRPr="008C6B69">
        <w:rPr>
          <w:szCs w:val="20"/>
        </w:rPr>
        <w:t xml:space="preserve"> </w:t>
      </w:r>
      <w:r w:rsidRPr="008C6B69">
        <w:rPr>
          <w:i/>
          <w:szCs w:val="20"/>
        </w:rPr>
        <w:t xml:space="preserve">Ilościowe luzowanie polityki pieniężnej na przykładzie FED </w:t>
      </w:r>
      <w:r>
        <w:rPr>
          <w:i/>
          <w:szCs w:val="20"/>
        </w:rPr>
        <w:t xml:space="preserve"> </w:t>
      </w:r>
      <w:r w:rsidRPr="008C6B69">
        <w:rPr>
          <w:i/>
          <w:szCs w:val="20"/>
        </w:rPr>
        <w:t>– istota, cele i skutki</w:t>
      </w:r>
      <w:r w:rsidRPr="008C6B69">
        <w:rPr>
          <w:szCs w:val="20"/>
        </w:rPr>
        <w:t xml:space="preserve">, </w:t>
      </w:r>
      <w:r>
        <w:rPr>
          <w:szCs w:val="20"/>
        </w:rPr>
        <w:t>„</w:t>
      </w:r>
      <w:proofErr w:type="spellStart"/>
      <w:r w:rsidRPr="008C6B69">
        <w:rPr>
          <w:szCs w:val="20"/>
        </w:rPr>
        <w:t>Copernican</w:t>
      </w:r>
      <w:proofErr w:type="spellEnd"/>
      <w:r w:rsidRPr="008C6B69">
        <w:rPr>
          <w:szCs w:val="20"/>
        </w:rPr>
        <w:t xml:space="preserve"> </w:t>
      </w:r>
      <w:proofErr w:type="spellStart"/>
      <w:r w:rsidRPr="008C6B69">
        <w:rPr>
          <w:szCs w:val="20"/>
        </w:rPr>
        <w:t>Journal</w:t>
      </w:r>
      <w:proofErr w:type="spellEnd"/>
      <w:r w:rsidRPr="008C6B69">
        <w:rPr>
          <w:szCs w:val="20"/>
        </w:rPr>
        <w:t xml:space="preserve"> of Finance &amp; </w:t>
      </w:r>
      <w:proofErr w:type="spellStart"/>
      <w:r w:rsidRPr="008C6B69">
        <w:rPr>
          <w:szCs w:val="20"/>
        </w:rPr>
        <w:t>Accounting</w:t>
      </w:r>
      <w:proofErr w:type="spellEnd"/>
      <w:r>
        <w:rPr>
          <w:szCs w:val="20"/>
        </w:rPr>
        <w:t>”</w:t>
      </w:r>
      <w:r w:rsidRPr="008C6B69">
        <w:rPr>
          <w:szCs w:val="20"/>
        </w:rPr>
        <w:t>, vol. 1</w:t>
      </w:r>
      <w:r>
        <w:rPr>
          <w:szCs w:val="20"/>
        </w:rPr>
        <w:t>.</w:t>
      </w:r>
    </w:p>
    <w:p w:rsidR="008C6B69" w:rsidRPr="008C6B69" w:rsidRDefault="008C6B69" w:rsidP="008C6B69">
      <w:pPr>
        <w:pStyle w:val="FutureBibliografiapublikacje"/>
        <w:rPr>
          <w:szCs w:val="20"/>
        </w:rPr>
      </w:pPr>
      <w:proofErr w:type="spellStart"/>
      <w:r w:rsidRPr="008C6B69">
        <w:rPr>
          <w:szCs w:val="20"/>
        </w:rPr>
        <w:t>Roubini</w:t>
      </w:r>
      <w:proofErr w:type="spellEnd"/>
      <w:r w:rsidRPr="008C6B69">
        <w:rPr>
          <w:szCs w:val="20"/>
        </w:rPr>
        <w:t xml:space="preserve"> N., </w:t>
      </w:r>
      <w:proofErr w:type="spellStart"/>
      <w:r w:rsidRPr="008C6B69">
        <w:rPr>
          <w:szCs w:val="20"/>
        </w:rPr>
        <w:t>Mihm</w:t>
      </w:r>
      <w:proofErr w:type="spellEnd"/>
      <w:r w:rsidRPr="008C6B69">
        <w:rPr>
          <w:szCs w:val="20"/>
        </w:rPr>
        <w:t xml:space="preserve"> S.,</w:t>
      </w:r>
      <w:r>
        <w:rPr>
          <w:szCs w:val="20"/>
        </w:rPr>
        <w:t xml:space="preserve"> 2011,</w:t>
      </w:r>
      <w:r w:rsidRPr="008C6B69">
        <w:rPr>
          <w:szCs w:val="20"/>
        </w:rPr>
        <w:t xml:space="preserve"> </w:t>
      </w:r>
      <w:r w:rsidRPr="008C6B69">
        <w:rPr>
          <w:i/>
          <w:szCs w:val="20"/>
        </w:rPr>
        <w:t>Ekonomia kryzysu</w:t>
      </w:r>
      <w:r w:rsidRPr="008C6B69">
        <w:rPr>
          <w:szCs w:val="20"/>
        </w:rPr>
        <w:t xml:space="preserve">, </w:t>
      </w:r>
      <w:proofErr w:type="spellStart"/>
      <w:r w:rsidRPr="008C6B69">
        <w:rPr>
          <w:szCs w:val="20"/>
        </w:rPr>
        <w:t>Wolters</w:t>
      </w:r>
      <w:proofErr w:type="spellEnd"/>
      <w:r w:rsidRPr="008C6B69">
        <w:rPr>
          <w:szCs w:val="20"/>
        </w:rPr>
        <w:t xml:space="preserve"> </w:t>
      </w:r>
      <w:proofErr w:type="spellStart"/>
      <w:r w:rsidRPr="008C6B69">
        <w:rPr>
          <w:szCs w:val="20"/>
        </w:rPr>
        <w:t>Kluwer</w:t>
      </w:r>
      <w:proofErr w:type="spellEnd"/>
      <w:r w:rsidRPr="008C6B69">
        <w:rPr>
          <w:szCs w:val="20"/>
        </w:rPr>
        <w:t xml:space="preserve"> Polska Sp. z o.o., Warszawa</w:t>
      </w:r>
      <w:r>
        <w:rPr>
          <w:szCs w:val="20"/>
        </w:rPr>
        <w:t>.</w:t>
      </w:r>
    </w:p>
    <w:p w:rsidR="008C6B69" w:rsidRPr="008C6B69" w:rsidRDefault="008C6B69" w:rsidP="008C6B69">
      <w:pPr>
        <w:pStyle w:val="FutureBibliografiapublikacje"/>
        <w:rPr>
          <w:szCs w:val="20"/>
        </w:rPr>
      </w:pPr>
      <w:proofErr w:type="spellStart"/>
      <w:r w:rsidRPr="008C6B69">
        <w:rPr>
          <w:szCs w:val="20"/>
        </w:rPr>
        <w:t>Samuelson</w:t>
      </w:r>
      <w:proofErr w:type="spellEnd"/>
      <w:r w:rsidRPr="008C6B69">
        <w:rPr>
          <w:szCs w:val="20"/>
        </w:rPr>
        <w:t xml:space="preserve"> P. A., </w:t>
      </w:r>
      <w:proofErr w:type="spellStart"/>
      <w:r w:rsidRPr="008C6B69">
        <w:rPr>
          <w:szCs w:val="20"/>
        </w:rPr>
        <w:t>Nordhaus</w:t>
      </w:r>
      <w:proofErr w:type="spellEnd"/>
      <w:r w:rsidRPr="008C6B69">
        <w:rPr>
          <w:szCs w:val="20"/>
        </w:rPr>
        <w:t xml:space="preserve"> W. D.,</w:t>
      </w:r>
      <w:r>
        <w:rPr>
          <w:szCs w:val="20"/>
        </w:rPr>
        <w:t xml:space="preserve"> 2012,</w:t>
      </w:r>
      <w:r w:rsidRPr="008C6B69">
        <w:rPr>
          <w:szCs w:val="20"/>
        </w:rPr>
        <w:t xml:space="preserve"> </w:t>
      </w:r>
      <w:r w:rsidRPr="008C6B69">
        <w:rPr>
          <w:i/>
          <w:szCs w:val="20"/>
        </w:rPr>
        <w:t>Ekonomia</w:t>
      </w:r>
      <w:r w:rsidRPr="008C6B69">
        <w:rPr>
          <w:szCs w:val="20"/>
        </w:rPr>
        <w:t>, REBIS, Poznań</w:t>
      </w:r>
      <w:r>
        <w:rPr>
          <w:szCs w:val="20"/>
        </w:rPr>
        <w:t>.</w:t>
      </w:r>
    </w:p>
    <w:p w:rsidR="008C6B69" w:rsidRPr="008C6B69" w:rsidRDefault="008C6B69" w:rsidP="008C6B69">
      <w:pPr>
        <w:pStyle w:val="FutureBibliografiapublikacje"/>
        <w:rPr>
          <w:szCs w:val="20"/>
        </w:rPr>
      </w:pPr>
      <w:r w:rsidRPr="008C6B69">
        <w:rPr>
          <w:szCs w:val="20"/>
        </w:rPr>
        <w:t>Siwiński W.,</w:t>
      </w:r>
      <w:r w:rsidR="001D4064">
        <w:rPr>
          <w:szCs w:val="20"/>
        </w:rPr>
        <w:t xml:space="preserve"> 2012,</w:t>
      </w:r>
      <w:r w:rsidRPr="008C6B69">
        <w:rPr>
          <w:szCs w:val="20"/>
        </w:rPr>
        <w:t xml:space="preserve"> </w:t>
      </w:r>
      <w:r w:rsidRPr="001D4064">
        <w:rPr>
          <w:i/>
          <w:szCs w:val="20"/>
        </w:rPr>
        <w:t>Globalny kryzys gospodarczy i jego implikacje dla polityki pieniężnej</w:t>
      </w:r>
      <w:r w:rsidRPr="008C6B69">
        <w:rPr>
          <w:szCs w:val="20"/>
        </w:rPr>
        <w:t xml:space="preserve">, „Master of Business </w:t>
      </w:r>
      <w:proofErr w:type="spellStart"/>
      <w:r w:rsidRPr="008C6B69">
        <w:rPr>
          <w:szCs w:val="20"/>
        </w:rPr>
        <w:t>Administration</w:t>
      </w:r>
      <w:proofErr w:type="spellEnd"/>
      <w:r w:rsidRPr="008C6B69">
        <w:rPr>
          <w:szCs w:val="20"/>
        </w:rPr>
        <w:t>”</w:t>
      </w:r>
      <w:r w:rsidR="001D4064">
        <w:rPr>
          <w:szCs w:val="20"/>
        </w:rPr>
        <w:t>, no.</w:t>
      </w:r>
      <w:r w:rsidRPr="008C6B69">
        <w:rPr>
          <w:szCs w:val="20"/>
        </w:rPr>
        <w:t xml:space="preserve"> 2</w:t>
      </w:r>
      <w:r w:rsidR="001D4064">
        <w:rPr>
          <w:szCs w:val="20"/>
        </w:rPr>
        <w:t>.</w:t>
      </w:r>
    </w:p>
    <w:p w:rsidR="008C6B69" w:rsidRPr="001D4064" w:rsidRDefault="008C6B69" w:rsidP="008C6B69">
      <w:pPr>
        <w:pStyle w:val="FutureBibliografiapublikacje"/>
        <w:rPr>
          <w:szCs w:val="20"/>
          <w:lang w:val="en-US"/>
        </w:rPr>
      </w:pPr>
      <w:proofErr w:type="spellStart"/>
      <w:r w:rsidRPr="001D4064">
        <w:rPr>
          <w:szCs w:val="20"/>
          <w:lang w:val="en-US"/>
        </w:rPr>
        <w:t>Svensson</w:t>
      </w:r>
      <w:proofErr w:type="spellEnd"/>
      <w:r w:rsidRPr="001D4064">
        <w:rPr>
          <w:szCs w:val="20"/>
          <w:lang w:val="en-US"/>
        </w:rPr>
        <w:t xml:space="preserve"> L. E. O.,</w:t>
      </w:r>
      <w:r w:rsidR="001D4064" w:rsidRPr="001D4064">
        <w:rPr>
          <w:szCs w:val="20"/>
          <w:lang w:val="en-US"/>
        </w:rPr>
        <w:t xml:space="preserve"> 1</w:t>
      </w:r>
      <w:r w:rsidR="001D4064">
        <w:rPr>
          <w:szCs w:val="20"/>
          <w:lang w:val="en-US"/>
        </w:rPr>
        <w:t>997,</w:t>
      </w:r>
      <w:r w:rsidRPr="001D4064">
        <w:rPr>
          <w:szCs w:val="20"/>
          <w:lang w:val="en-US"/>
        </w:rPr>
        <w:t xml:space="preserve"> </w:t>
      </w:r>
      <w:r w:rsidRPr="001D4064">
        <w:rPr>
          <w:i/>
          <w:szCs w:val="20"/>
          <w:lang w:val="en-US"/>
        </w:rPr>
        <w:t>Inflation Targeting in an Open Economy: Strict or Flexible Inflation Targeting?</w:t>
      </w:r>
      <w:r w:rsidRPr="001D4064">
        <w:rPr>
          <w:szCs w:val="20"/>
          <w:lang w:val="en-US"/>
        </w:rPr>
        <w:t>, Institute for International Economic Studies, Sto</w:t>
      </w:r>
      <w:r w:rsidR="001D4064">
        <w:rPr>
          <w:szCs w:val="20"/>
          <w:lang w:val="en-US"/>
        </w:rPr>
        <w:t>ckholm University, November.</w:t>
      </w:r>
    </w:p>
    <w:p w:rsidR="008C6B69" w:rsidRPr="008C6B69" w:rsidRDefault="008C6B69" w:rsidP="008C6B69">
      <w:pPr>
        <w:pStyle w:val="FutureBibliografiapublikacje"/>
        <w:rPr>
          <w:szCs w:val="20"/>
        </w:rPr>
      </w:pPr>
      <w:r w:rsidRPr="008C6B69">
        <w:rPr>
          <w:szCs w:val="20"/>
        </w:rPr>
        <w:t>Szczepańska O.,</w:t>
      </w:r>
      <w:r w:rsidR="001D4064">
        <w:rPr>
          <w:szCs w:val="20"/>
        </w:rPr>
        <w:t xml:space="preserve"> 2008,</w:t>
      </w:r>
      <w:r w:rsidRPr="008C6B69">
        <w:rPr>
          <w:szCs w:val="20"/>
        </w:rPr>
        <w:t xml:space="preserve"> </w:t>
      </w:r>
      <w:r w:rsidRPr="001D4064">
        <w:rPr>
          <w:i/>
          <w:szCs w:val="20"/>
        </w:rPr>
        <w:t>Stabilność finansowa jako cel banku centralnego</w:t>
      </w:r>
      <w:r w:rsidRPr="008C6B69">
        <w:rPr>
          <w:szCs w:val="20"/>
        </w:rPr>
        <w:t>, Wydawnictwo Naukowe Scholar, Warszawa</w:t>
      </w:r>
      <w:r w:rsidR="001D4064">
        <w:rPr>
          <w:szCs w:val="20"/>
        </w:rPr>
        <w:t>.</w:t>
      </w:r>
    </w:p>
    <w:p w:rsidR="008C6B69" w:rsidRPr="008C6B69" w:rsidRDefault="008C6B69" w:rsidP="008C6B69">
      <w:pPr>
        <w:pStyle w:val="FutureBibliografiapublikacje"/>
        <w:rPr>
          <w:szCs w:val="20"/>
        </w:rPr>
      </w:pPr>
      <w:proofErr w:type="spellStart"/>
      <w:r w:rsidRPr="008C6B69">
        <w:rPr>
          <w:szCs w:val="20"/>
        </w:rPr>
        <w:t>Szpunar</w:t>
      </w:r>
      <w:proofErr w:type="spellEnd"/>
      <w:r w:rsidRPr="008C6B69">
        <w:rPr>
          <w:szCs w:val="20"/>
        </w:rPr>
        <w:t xml:space="preserve"> P. J.,</w:t>
      </w:r>
      <w:r w:rsidR="001D4064">
        <w:rPr>
          <w:szCs w:val="20"/>
        </w:rPr>
        <w:t xml:space="preserve"> 2012,</w:t>
      </w:r>
      <w:r w:rsidRPr="008C6B69">
        <w:rPr>
          <w:szCs w:val="20"/>
        </w:rPr>
        <w:t xml:space="preserve"> </w:t>
      </w:r>
      <w:r w:rsidRPr="001D4064">
        <w:rPr>
          <w:i/>
          <w:szCs w:val="20"/>
        </w:rPr>
        <w:t xml:space="preserve">Rola polityki </w:t>
      </w:r>
      <w:proofErr w:type="spellStart"/>
      <w:r w:rsidRPr="001D4064">
        <w:rPr>
          <w:i/>
          <w:szCs w:val="20"/>
        </w:rPr>
        <w:t>makroostrożnościowej</w:t>
      </w:r>
      <w:proofErr w:type="spellEnd"/>
      <w:r w:rsidRPr="001D4064">
        <w:rPr>
          <w:i/>
          <w:szCs w:val="20"/>
        </w:rPr>
        <w:t xml:space="preserve"> w zapobieganiu kryzysom finansowym</w:t>
      </w:r>
      <w:r w:rsidRPr="008C6B69">
        <w:rPr>
          <w:szCs w:val="20"/>
        </w:rPr>
        <w:t xml:space="preserve">, </w:t>
      </w:r>
      <w:r w:rsidR="001D4064">
        <w:rPr>
          <w:szCs w:val="20"/>
        </w:rPr>
        <w:t>„</w:t>
      </w:r>
      <w:r w:rsidRPr="008C6B69">
        <w:rPr>
          <w:szCs w:val="20"/>
        </w:rPr>
        <w:t>NBP Materiały i studia</w:t>
      </w:r>
      <w:r w:rsidR="001D4064">
        <w:rPr>
          <w:szCs w:val="20"/>
        </w:rPr>
        <w:t>”, Zeszyt nr 278, Warszawa.</w:t>
      </w:r>
    </w:p>
    <w:p w:rsidR="008C6B69" w:rsidRPr="008C6B69" w:rsidRDefault="008C6B69" w:rsidP="008C6B69">
      <w:pPr>
        <w:pStyle w:val="FutureBibliografiapublikacje"/>
        <w:rPr>
          <w:szCs w:val="20"/>
        </w:rPr>
      </w:pPr>
      <w:r w:rsidRPr="008C6B69">
        <w:rPr>
          <w:szCs w:val="20"/>
        </w:rPr>
        <w:t>Taylor J. B.,</w:t>
      </w:r>
      <w:r w:rsidR="001D4064">
        <w:rPr>
          <w:szCs w:val="20"/>
        </w:rPr>
        <w:t xml:space="preserve"> 2010,</w:t>
      </w:r>
      <w:r w:rsidRPr="008C6B69">
        <w:rPr>
          <w:szCs w:val="20"/>
        </w:rPr>
        <w:t xml:space="preserve"> </w:t>
      </w:r>
      <w:r w:rsidRPr="001D4064">
        <w:rPr>
          <w:i/>
          <w:szCs w:val="20"/>
        </w:rPr>
        <w:t>Zrozumieć kryzys finansowy: przyczyny, skutki, interpretacje</w:t>
      </w:r>
      <w:r w:rsidRPr="008C6B69">
        <w:rPr>
          <w:szCs w:val="20"/>
        </w:rPr>
        <w:t>, Wydawnictwo Na</w:t>
      </w:r>
      <w:r w:rsidR="001D4064">
        <w:rPr>
          <w:szCs w:val="20"/>
        </w:rPr>
        <w:t>ukowe PWN, Warszawa.</w:t>
      </w:r>
    </w:p>
    <w:p w:rsidR="008C6B69" w:rsidRPr="008C6B69" w:rsidRDefault="008C6B69" w:rsidP="008C6B69">
      <w:pPr>
        <w:pStyle w:val="FutureBibliografiapublikacje"/>
        <w:rPr>
          <w:szCs w:val="20"/>
        </w:rPr>
      </w:pPr>
      <w:r w:rsidRPr="008C6B69">
        <w:rPr>
          <w:szCs w:val="20"/>
        </w:rPr>
        <w:t>White W. R.,</w:t>
      </w:r>
      <w:r w:rsidR="001D4064">
        <w:rPr>
          <w:szCs w:val="20"/>
        </w:rPr>
        <w:t xml:space="preserve"> 2006,</w:t>
      </w:r>
      <w:r w:rsidRPr="008C6B69">
        <w:rPr>
          <w:szCs w:val="20"/>
        </w:rPr>
        <w:t xml:space="preserve"> </w:t>
      </w:r>
      <w:r w:rsidRPr="001D4064">
        <w:rPr>
          <w:i/>
          <w:szCs w:val="20"/>
        </w:rPr>
        <w:t>Czy stabilność cen wystarcza</w:t>
      </w:r>
      <w:r w:rsidRPr="008C6B69">
        <w:rPr>
          <w:szCs w:val="20"/>
        </w:rPr>
        <w:t xml:space="preserve">, </w:t>
      </w:r>
      <w:r w:rsidR="001D4064">
        <w:rPr>
          <w:szCs w:val="20"/>
        </w:rPr>
        <w:t>„</w:t>
      </w:r>
      <w:r w:rsidRPr="008C6B69">
        <w:rPr>
          <w:szCs w:val="20"/>
        </w:rPr>
        <w:t>NBP Materiały i studia</w:t>
      </w:r>
      <w:r w:rsidR="001D4064">
        <w:rPr>
          <w:szCs w:val="20"/>
        </w:rPr>
        <w:t>”</w:t>
      </w:r>
      <w:r w:rsidRPr="008C6B69">
        <w:rPr>
          <w:szCs w:val="20"/>
        </w:rPr>
        <w:t>, Zeszyt nr 211, Wa</w:t>
      </w:r>
      <w:r w:rsidRPr="008C6B69">
        <w:rPr>
          <w:szCs w:val="20"/>
        </w:rPr>
        <w:t>r</w:t>
      </w:r>
      <w:r w:rsidRPr="008C6B69">
        <w:rPr>
          <w:szCs w:val="20"/>
        </w:rPr>
        <w:t>szawa</w:t>
      </w:r>
      <w:r w:rsidR="001D4064">
        <w:rPr>
          <w:szCs w:val="20"/>
        </w:rPr>
        <w:t>.</w:t>
      </w:r>
    </w:p>
    <w:p w:rsidR="008C6B69" w:rsidRPr="001D4064" w:rsidRDefault="008C6B69" w:rsidP="008C6B69">
      <w:pPr>
        <w:pStyle w:val="FutureBibliografiapublikacje"/>
        <w:rPr>
          <w:szCs w:val="20"/>
          <w:lang w:val="en-US"/>
        </w:rPr>
      </w:pPr>
      <w:proofErr w:type="spellStart"/>
      <w:r w:rsidRPr="001D4064">
        <w:rPr>
          <w:szCs w:val="20"/>
          <w:lang w:val="en-US"/>
        </w:rPr>
        <w:t>Willardson</w:t>
      </w:r>
      <w:proofErr w:type="spellEnd"/>
      <w:r w:rsidRPr="001D4064">
        <w:rPr>
          <w:szCs w:val="20"/>
          <w:lang w:val="en-US"/>
        </w:rPr>
        <w:t xml:space="preserve"> N., Pederson L.,</w:t>
      </w:r>
      <w:r w:rsidR="001D4064" w:rsidRPr="001D4064">
        <w:rPr>
          <w:szCs w:val="20"/>
          <w:lang w:val="en-US"/>
        </w:rPr>
        <w:t xml:space="preserve"> 2010,</w:t>
      </w:r>
      <w:r w:rsidRPr="001D4064">
        <w:rPr>
          <w:szCs w:val="20"/>
          <w:lang w:val="en-US"/>
        </w:rPr>
        <w:t xml:space="preserve"> </w:t>
      </w:r>
      <w:r w:rsidRPr="003166D3">
        <w:rPr>
          <w:i/>
          <w:szCs w:val="20"/>
          <w:lang w:val="en-US"/>
        </w:rPr>
        <w:t>Federal Reserve Liquidity Programs: An Update</w:t>
      </w:r>
      <w:r w:rsidRPr="003166D3">
        <w:rPr>
          <w:szCs w:val="20"/>
          <w:lang w:val="en-US"/>
        </w:rPr>
        <w:t>, The Region</w:t>
      </w:r>
      <w:r w:rsidRPr="001D4064">
        <w:rPr>
          <w:szCs w:val="20"/>
          <w:lang w:val="en-US"/>
        </w:rPr>
        <w:t>, June</w:t>
      </w:r>
      <w:r w:rsidR="001D4064">
        <w:rPr>
          <w:szCs w:val="20"/>
          <w:lang w:val="en-US"/>
        </w:rPr>
        <w:t>.</w:t>
      </w:r>
    </w:p>
    <w:p w:rsidR="000C7A44" w:rsidRPr="008C6B69" w:rsidRDefault="000C306E" w:rsidP="008C6B69">
      <w:pPr>
        <w:pStyle w:val="FutureBibliografiapublikacje"/>
        <w:rPr>
          <w:rStyle w:val="st"/>
        </w:rPr>
      </w:pPr>
      <w:hyperlink r:id="rId16" w:tgtFrame="_blank" w:history="1">
        <w:r w:rsidR="008C6B69" w:rsidRPr="001D4064">
          <w:rPr>
            <w:rStyle w:val="Hipercze"/>
            <w:i/>
            <w:color w:val="auto"/>
            <w:szCs w:val="20"/>
            <w:u w:val="none"/>
          </w:rPr>
          <w:t>Zalecenie Europejskiej Rady ds. Ryzyka Systemowego z dnia 22 grudnia 2011 r. w sprawie ma</w:t>
        </w:r>
        <w:r w:rsidR="008C6B69" w:rsidRPr="001D4064">
          <w:rPr>
            <w:rStyle w:val="Hipercze"/>
            <w:i/>
            <w:color w:val="auto"/>
            <w:szCs w:val="20"/>
            <w:u w:val="none"/>
          </w:rPr>
          <w:t>n</w:t>
        </w:r>
        <w:r w:rsidR="008C6B69" w:rsidRPr="001D4064">
          <w:rPr>
            <w:rStyle w:val="Hipercze"/>
            <w:i/>
            <w:color w:val="auto"/>
            <w:szCs w:val="20"/>
            <w:u w:val="none"/>
          </w:rPr>
          <w:t xml:space="preserve">datu </w:t>
        </w:r>
        <w:proofErr w:type="spellStart"/>
        <w:r w:rsidR="008C6B69" w:rsidRPr="001D4064">
          <w:rPr>
            <w:rStyle w:val="Hipercze"/>
            <w:i/>
            <w:color w:val="auto"/>
            <w:szCs w:val="20"/>
            <w:u w:val="none"/>
          </w:rPr>
          <w:t>makroostrożnościowego</w:t>
        </w:r>
        <w:proofErr w:type="spellEnd"/>
        <w:r w:rsidR="008C6B69" w:rsidRPr="001D4064">
          <w:rPr>
            <w:rStyle w:val="Hipercze"/>
            <w:i/>
            <w:color w:val="auto"/>
            <w:szCs w:val="20"/>
            <w:u w:val="none"/>
          </w:rPr>
          <w:t xml:space="preserve"> organów krajowych</w:t>
        </w:r>
      </w:hyperlink>
      <w:r w:rsidR="008C6B69" w:rsidRPr="008C6B69">
        <w:rPr>
          <w:szCs w:val="20"/>
        </w:rPr>
        <w:t>, Dzienn</w:t>
      </w:r>
      <w:r w:rsidR="001D4064">
        <w:rPr>
          <w:szCs w:val="20"/>
        </w:rPr>
        <w:t>ik Urzędowy Unii Europejskiej C 41/1</w:t>
      </w:r>
      <w:r w:rsidR="008C6B69" w:rsidRPr="008C6B69">
        <w:rPr>
          <w:szCs w:val="20"/>
        </w:rPr>
        <w:t xml:space="preserve"> </w:t>
      </w:r>
      <w:r w:rsidR="001D4064">
        <w:rPr>
          <w:szCs w:val="20"/>
        </w:rPr>
        <w:t xml:space="preserve">[dostęp: </w:t>
      </w:r>
      <w:r w:rsidR="008C6B69" w:rsidRPr="008C6B69">
        <w:rPr>
          <w:szCs w:val="20"/>
        </w:rPr>
        <w:t>14</w:t>
      </w:r>
      <w:r w:rsidR="001D4064">
        <w:rPr>
          <w:szCs w:val="20"/>
        </w:rPr>
        <w:t>.</w:t>
      </w:r>
      <w:r w:rsidR="008C6B69" w:rsidRPr="008C6B69">
        <w:rPr>
          <w:szCs w:val="20"/>
        </w:rPr>
        <w:t>02</w:t>
      </w:r>
      <w:r w:rsidR="001D4064">
        <w:rPr>
          <w:szCs w:val="20"/>
        </w:rPr>
        <w:t>.</w:t>
      </w:r>
      <w:r w:rsidR="008C6B69" w:rsidRPr="008C6B69">
        <w:rPr>
          <w:szCs w:val="20"/>
        </w:rPr>
        <w:t>2012</w:t>
      </w:r>
      <w:r w:rsidR="001D4064">
        <w:rPr>
          <w:szCs w:val="20"/>
        </w:rPr>
        <w:t>]</w:t>
      </w:r>
      <w:r w:rsidR="008C6B69" w:rsidRPr="008C6B69">
        <w:t>.</w:t>
      </w:r>
    </w:p>
    <w:p w:rsidR="00DB4C9C" w:rsidRPr="000C7A44" w:rsidRDefault="008C6B69" w:rsidP="000C7A44">
      <w:pPr>
        <w:pStyle w:val="FutureTitleinEnglish"/>
        <w:rPr>
          <w:lang w:val="en-GB"/>
        </w:rPr>
      </w:pPr>
      <w:r w:rsidRPr="008C6B69">
        <w:rPr>
          <w:lang w:val="en-US"/>
        </w:rPr>
        <w:t>MONETARY POLICY AND THE STABILITY OF FINANCIAL MARKETS</w:t>
      </w:r>
    </w:p>
    <w:p w:rsidR="00DC2CDB" w:rsidRPr="008C6B69" w:rsidRDefault="008C6B69" w:rsidP="000C7A44">
      <w:pPr>
        <w:pStyle w:val="FutureAbstract"/>
        <w:rPr>
          <w:b/>
        </w:rPr>
      </w:pPr>
      <w:r w:rsidRPr="008C6B69">
        <w:t>The article aims to present the interaction between monetary policy, economic conditions and the condition of the financial markets. The last global crisis and subsequent actions of central banks have highlighted how closely they are  linked. In the study presented has been the impact of monetary policy on economic trends, real estate market and the trading of financial instruments. The author argues that monetary policy has a growing impact on the economic situation and the behavior of financial markets. The study shows the need for the stability of the financial system for the proper functioning of economies</w:t>
      </w:r>
      <w:r>
        <w:t>.</w:t>
      </w:r>
    </w:p>
    <w:p w:rsidR="00DC2CDB" w:rsidRDefault="00A1476D" w:rsidP="00A1476D">
      <w:pPr>
        <w:pStyle w:val="FutureKeywords"/>
      </w:pPr>
      <w:r>
        <w:t xml:space="preserve">Key words: </w:t>
      </w:r>
      <w:r w:rsidR="008C6B69" w:rsidRPr="008C6B69">
        <w:t xml:space="preserve">monetary policy, financial stability, financial markets, business cycles, </w:t>
      </w:r>
      <w:proofErr w:type="spellStart"/>
      <w:r w:rsidR="008C6B69" w:rsidRPr="008C6B69">
        <w:t>macroprudential</w:t>
      </w:r>
      <w:proofErr w:type="spellEnd"/>
      <w:r w:rsidR="008C6B69" w:rsidRPr="008C6B69">
        <w:t xml:space="preserve"> policy</w:t>
      </w:r>
      <w:r>
        <w:t>.</w:t>
      </w:r>
    </w:p>
    <w:p w:rsidR="009678F1" w:rsidRDefault="009678F1" w:rsidP="00A1476D">
      <w:pPr>
        <w:pStyle w:val="FutureKeywords"/>
      </w:pPr>
    </w:p>
    <w:p w:rsidR="009678F1" w:rsidRPr="008C6B69" w:rsidRDefault="009678F1" w:rsidP="009678F1">
      <w:pPr>
        <w:rPr>
          <w:lang w:val="en-US"/>
        </w:rPr>
      </w:pPr>
    </w:p>
    <w:sectPr w:rsidR="009678F1" w:rsidRPr="008C6B69" w:rsidSect="00B65230">
      <w:headerReference w:type="even" r:id="rId17"/>
      <w:headerReference w:type="default" r:id="rId18"/>
      <w:footerReference w:type="even" r:id="rId19"/>
      <w:footerReference w:type="default" r:id="rId20"/>
      <w:headerReference w:type="first" r:id="rId21"/>
      <w:footerReference w:type="first" r:id="rId22"/>
      <w:pgSz w:w="10093" w:h="14181" w:code="143"/>
      <w:pgMar w:top="1588" w:right="1474" w:bottom="1758" w:left="1474" w:header="1021" w:footer="284" w:gutter="0"/>
      <w:pgNumType w:start="79"/>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B69" w:rsidRDefault="008C6B69">
      <w:r>
        <w:separator/>
      </w:r>
    </w:p>
  </w:endnote>
  <w:endnote w:type="continuationSeparator" w:id="0">
    <w:p w:rsidR="008C6B69" w:rsidRDefault="008C6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69" w:rsidRDefault="000C306E">
    <w:pPr>
      <w:pStyle w:val="Stopka"/>
      <w:ind w:right="360" w:firstLine="360"/>
    </w:pPr>
    <w:r w:rsidRPr="000C306E">
      <w:rPr>
        <w:rFonts w:ascii="Cambria" w:hAnsi="Cambria"/>
        <w:noProof/>
        <w:sz w:val="28"/>
        <w:szCs w:val="28"/>
      </w:rPr>
      <w:pict>
        <v:group id="_x0000_s2076" style="position:absolute;left:0;text-align:left;margin-left:-9.05pt;margin-top:-59.2pt;width:366.2pt;height:39.75pt;z-index:251665920" coordorigin="1010,12104" coordsize="7324,795">
          <v:shapetype id="_x0000_t202" coordsize="21600,21600" o:spt="202" path="m,l,21600r21600,l21600,xe">
            <v:stroke joinstyle="miter"/>
            <v:path gradientshapeok="t" o:connecttype="rect"/>
          </v:shapetype>
          <v:shape id="_x0000_s2073" type="#_x0000_t202" style="position:absolute;left:1191;top:12104;width:7143;height:795" fillcolor="#676c72" stroked="f" strokecolor="#676c72">
            <v:fill opacity="0"/>
            <v:textbox style="mso-next-textbox:#_x0000_s2073" inset=".5mm,.7mm,.5mm,0">
              <w:txbxContent>
                <w:p w:rsidR="008C6B69" w:rsidRDefault="008C6B69" w:rsidP="008724A4">
                  <w:pPr>
                    <w:spacing w:line="240" w:lineRule="auto"/>
                    <w:jc w:val="center"/>
                    <w:rPr>
                      <w:rFonts w:ascii="Arial Narrow" w:hAnsi="Arial Narrow"/>
                      <w:color w:val="89B137"/>
                      <w:szCs w:val="18"/>
                    </w:rPr>
                  </w:pPr>
                </w:p>
                <w:p w:rsidR="008C6B69" w:rsidRPr="00065171" w:rsidRDefault="008C6B69" w:rsidP="008724A4">
                  <w:pPr>
                    <w:spacing w:line="240" w:lineRule="auto"/>
                    <w:jc w:val="center"/>
                    <w:rPr>
                      <w:rFonts w:ascii="Arial Narrow" w:hAnsi="Arial Narrow"/>
                      <w:color w:val="89B137"/>
                      <w:szCs w:val="26"/>
                    </w:rPr>
                  </w:pPr>
                </w:p>
                <w:p w:rsidR="008C6B69" w:rsidRPr="00065171" w:rsidRDefault="008C6B69" w:rsidP="008724A4">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2" type="#_x0000_t176" style="position:absolute;left:1010;top:12304;width:807;height:567;rotation:360;mso-position-horizontal-relative:page;mso-position-vertical-relative:page" adj="2672,2486" filled="f" fillcolor="#4f81bd" stroked="f" strokecolor="#737373">
            <v:fill color2="#a7bfde" type="pattern"/>
            <v:textbox style="mso-next-textbox:#_x0000_s2072">
              <w:txbxContent>
                <w:p w:rsidR="008C6B69" w:rsidRPr="008724A4" w:rsidRDefault="000C306E" w:rsidP="008724A4">
                  <w:pPr>
                    <w:pStyle w:val="Stopka"/>
                    <w:pBdr>
                      <w:top w:val="single" w:sz="12" w:space="1" w:color="9BBB59"/>
                      <w:bottom w:val="single" w:sz="48" w:space="1" w:color="9BBB59"/>
                    </w:pBdr>
                    <w:spacing w:line="240" w:lineRule="auto"/>
                    <w:jc w:val="center"/>
                    <w:rPr>
                      <w:sz w:val="18"/>
                      <w:szCs w:val="18"/>
                    </w:rPr>
                  </w:pPr>
                  <w:r w:rsidRPr="008724A4">
                    <w:rPr>
                      <w:sz w:val="18"/>
                      <w:szCs w:val="18"/>
                    </w:rPr>
                    <w:fldChar w:fldCharType="begin"/>
                  </w:r>
                  <w:r w:rsidR="008C6B69" w:rsidRPr="008724A4">
                    <w:rPr>
                      <w:sz w:val="18"/>
                      <w:szCs w:val="18"/>
                    </w:rPr>
                    <w:instrText xml:space="preserve"> PAGE    \* MERGEFORMAT </w:instrText>
                  </w:r>
                  <w:r w:rsidRPr="008724A4">
                    <w:rPr>
                      <w:sz w:val="18"/>
                      <w:szCs w:val="18"/>
                    </w:rPr>
                    <w:fldChar w:fldCharType="separate"/>
                  </w:r>
                  <w:r w:rsidR="00D52901">
                    <w:rPr>
                      <w:noProof/>
                      <w:sz w:val="18"/>
                      <w:szCs w:val="18"/>
                    </w:rPr>
                    <w:t>92</w:t>
                  </w:r>
                  <w:r w:rsidRPr="008724A4">
                    <w:rPr>
                      <w:sz w:val="18"/>
                      <w:szCs w:val="18"/>
                    </w:rPr>
                    <w:fldChar w:fldCharType="end"/>
                  </w:r>
                </w:p>
              </w:txbxContent>
            </v:textbox>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69" w:rsidRDefault="000C306E">
    <w:pPr>
      <w:pStyle w:val="Stopka"/>
      <w:ind w:right="360" w:firstLine="360"/>
    </w:pPr>
    <w:r w:rsidRPr="000C306E">
      <w:rPr>
        <w:rFonts w:ascii="Cambria" w:hAnsi="Cambria"/>
        <w:noProof/>
        <w:sz w:val="28"/>
        <w:szCs w:val="28"/>
      </w:rPr>
      <w:pict>
        <v:group id="_x0000_s2077" style="position:absolute;left:0;text-align:left;margin-left:-1.8pt;margin-top:-59.2pt;width:364.85pt;height:39.75pt;z-index:251666944" coordorigin="1181,12104" coordsize="7297,795">
          <v:shapetype id="_x0000_t202" coordsize="21600,21600" o:spt="202" path="m,l,21600r21600,l21600,xe">
            <v:stroke joinstyle="miter"/>
            <v:path gradientshapeok="t" o:connecttype="rect"/>
          </v:shapetype>
          <v:shape id="_x0000_s2078" type="#_x0000_t202" style="position:absolute;left:1181;top:12104;width:7143;height:795" fillcolor="#676c72" stroked="f" strokecolor="#676c72">
            <v:fill opacity="0"/>
            <v:textbox style="mso-next-textbox:#_x0000_s2078" inset=".5mm,.7mm,.5mm,0">
              <w:txbxContent>
                <w:p w:rsidR="008C6B69" w:rsidRDefault="008C6B69" w:rsidP="00896A1C">
                  <w:pPr>
                    <w:spacing w:line="240" w:lineRule="auto"/>
                    <w:jc w:val="center"/>
                    <w:rPr>
                      <w:rFonts w:ascii="Arial Narrow" w:hAnsi="Arial Narrow"/>
                      <w:color w:val="89B137"/>
                      <w:szCs w:val="18"/>
                    </w:rPr>
                  </w:pPr>
                </w:p>
                <w:p w:rsidR="008C6B69" w:rsidRPr="00065171" w:rsidRDefault="008C6B69" w:rsidP="00896A1C">
                  <w:pPr>
                    <w:spacing w:line="240" w:lineRule="auto"/>
                    <w:jc w:val="center"/>
                    <w:rPr>
                      <w:rFonts w:ascii="Arial Narrow" w:hAnsi="Arial Narrow"/>
                      <w:color w:val="89B137"/>
                      <w:szCs w:val="26"/>
                    </w:rPr>
                  </w:pPr>
                </w:p>
                <w:p w:rsidR="008C6B69" w:rsidRPr="00065171" w:rsidRDefault="008C6B69" w:rsidP="00896A1C">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9" type="#_x0000_t176" style="position:absolute;left:7671;top:12304;width:807;height:567;rotation:360;mso-position-horizontal-relative:page;mso-position-vertical-relative:page" adj="2672,2486" filled="f" fillcolor="#4f81bd" stroked="f" strokecolor="#737373">
            <v:fill color2="#a7bfde" type="pattern"/>
            <v:textbox style="mso-next-textbox:#_x0000_s2079">
              <w:txbxContent>
                <w:p w:rsidR="008C6B69" w:rsidRPr="00700C32" w:rsidRDefault="000C306E" w:rsidP="00896A1C">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008C6B69" w:rsidRPr="00700C32">
                    <w:rPr>
                      <w:sz w:val="18"/>
                      <w:szCs w:val="18"/>
                    </w:rPr>
                    <w:instrText xml:space="preserve"> PAGE    \* MERGEFORMAT </w:instrText>
                  </w:r>
                  <w:r w:rsidRPr="00700C32">
                    <w:rPr>
                      <w:sz w:val="18"/>
                      <w:szCs w:val="18"/>
                    </w:rPr>
                    <w:fldChar w:fldCharType="separate"/>
                  </w:r>
                  <w:r w:rsidR="00D52901">
                    <w:rPr>
                      <w:noProof/>
                      <w:sz w:val="18"/>
                      <w:szCs w:val="18"/>
                    </w:rPr>
                    <w:t>91</w:t>
                  </w:r>
                  <w:r w:rsidRPr="00700C32">
                    <w:rPr>
                      <w:sz w:val="18"/>
                      <w:szCs w:val="18"/>
                    </w:rPr>
                    <w:fldChar w:fldCharType="end"/>
                  </w:r>
                </w:p>
              </w:txbxContent>
            </v:textbox>
          </v:shap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69" w:rsidRDefault="000C306E">
    <w:pPr>
      <w:pStyle w:val="Stopka"/>
    </w:pPr>
    <w:r w:rsidRPr="000C306E">
      <w:rPr>
        <w:rFonts w:ascii="Cambria" w:hAnsi="Cambria"/>
        <w:noProof/>
        <w:sz w:val="28"/>
        <w:szCs w:val="28"/>
      </w:rPr>
      <w:pict>
        <v:group id="_x0000_s2075" style="position:absolute;margin-left:-.5pt;margin-top:-59.2pt;width:364.85pt;height:39.75pt;z-index:251662848" coordorigin="1181,12104" coordsize="7297,795">
          <v:shapetype id="_x0000_t202" coordsize="21600,21600" o:spt="202" path="m,l,21600r21600,l21600,xe">
            <v:stroke joinstyle="miter"/>
            <v:path gradientshapeok="t" o:connecttype="rect"/>
          </v:shapetype>
          <v:shape id="_x0000_s2068" type="#_x0000_t202" style="position:absolute;left:1181;top:12104;width:7143;height:795" fillcolor="#676c72" stroked="f" strokecolor="#676c72">
            <v:fill opacity="0"/>
            <v:textbox style="mso-next-textbox:#_x0000_s2068" inset=".5mm,.7mm,.5mm,0">
              <w:txbxContent>
                <w:p w:rsidR="008C6B69" w:rsidRDefault="008C6B69" w:rsidP="00700C32">
                  <w:pPr>
                    <w:spacing w:line="240" w:lineRule="auto"/>
                    <w:jc w:val="center"/>
                    <w:rPr>
                      <w:rFonts w:ascii="Arial Narrow" w:hAnsi="Arial Narrow"/>
                      <w:color w:val="89B137"/>
                      <w:szCs w:val="18"/>
                    </w:rPr>
                  </w:pPr>
                </w:p>
                <w:p w:rsidR="008C6B69" w:rsidRPr="00065171" w:rsidRDefault="008C6B69" w:rsidP="00700C32">
                  <w:pPr>
                    <w:spacing w:line="240" w:lineRule="auto"/>
                    <w:jc w:val="center"/>
                    <w:rPr>
                      <w:rFonts w:ascii="Arial Narrow" w:hAnsi="Arial Narrow"/>
                      <w:color w:val="89B137"/>
                      <w:szCs w:val="26"/>
                    </w:rPr>
                  </w:pPr>
                </w:p>
                <w:p w:rsidR="008C6B69" w:rsidRPr="00065171" w:rsidRDefault="008C6B69" w:rsidP="00700C32">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7" type="#_x0000_t176" style="position:absolute;left:7671;top:12304;width:807;height:567;rotation:360;mso-position-horizontal-relative:page;mso-position-vertical-relative:page" adj="2672,2486" filled="f" fillcolor="#4f81bd" stroked="f" strokecolor="#737373">
            <v:fill color2="#a7bfde" type="pattern"/>
            <v:textbox style="mso-next-textbox:#_x0000_s2067">
              <w:txbxContent>
                <w:p w:rsidR="008C6B69" w:rsidRPr="00700C32" w:rsidRDefault="000C306E" w:rsidP="008724A4">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008C6B69" w:rsidRPr="00700C32">
                    <w:rPr>
                      <w:sz w:val="18"/>
                      <w:szCs w:val="18"/>
                    </w:rPr>
                    <w:instrText xml:space="preserve"> PAGE    \* MERGEFORMAT </w:instrText>
                  </w:r>
                  <w:r w:rsidRPr="00700C32">
                    <w:rPr>
                      <w:sz w:val="18"/>
                      <w:szCs w:val="18"/>
                    </w:rPr>
                    <w:fldChar w:fldCharType="separate"/>
                  </w:r>
                  <w:r w:rsidR="00D52901">
                    <w:rPr>
                      <w:noProof/>
                      <w:sz w:val="18"/>
                      <w:szCs w:val="18"/>
                    </w:rPr>
                    <w:t>79</w:t>
                  </w:r>
                  <w:r w:rsidRPr="00700C32">
                    <w:rPr>
                      <w:sz w:val="18"/>
                      <w:szCs w:val="18"/>
                    </w:rPr>
                    <w:fldChar w:fldCharType="end"/>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B69" w:rsidRPr="00A95A7B" w:rsidRDefault="008C6B69" w:rsidP="00A95A7B">
      <w:pPr>
        <w:spacing w:line="240" w:lineRule="auto"/>
        <w:ind w:right="5954"/>
        <w:rPr>
          <w:sz w:val="12"/>
          <w:szCs w:val="12"/>
        </w:rPr>
      </w:pPr>
      <w:r w:rsidRPr="00A95A7B">
        <w:rPr>
          <w:sz w:val="12"/>
          <w:szCs w:val="12"/>
        </w:rPr>
        <w:separator/>
      </w:r>
    </w:p>
  </w:footnote>
  <w:footnote w:type="continuationSeparator" w:id="0">
    <w:p w:rsidR="008C6B69" w:rsidRPr="00A95A7B" w:rsidRDefault="008C6B69" w:rsidP="00A95A7B">
      <w:pPr>
        <w:spacing w:line="240" w:lineRule="auto"/>
        <w:ind w:right="5954"/>
        <w:jc w:val="both"/>
        <w:rPr>
          <w:sz w:val="12"/>
          <w:szCs w:val="12"/>
        </w:rPr>
      </w:pPr>
      <w:r w:rsidRPr="00A95A7B">
        <w:rPr>
          <w:sz w:val="12"/>
          <w:szCs w:val="12"/>
        </w:rPr>
        <w:separator/>
      </w:r>
    </w:p>
  </w:footnote>
  <w:footnote w:type="continuationNotice" w:id="1">
    <w:p w:rsidR="008C6B69" w:rsidRPr="00CF400C" w:rsidRDefault="008C6B69" w:rsidP="00CF400C">
      <w:pPr>
        <w:spacing w:line="240" w:lineRule="auto"/>
        <w:rPr>
          <w:sz w:val="8"/>
          <w:szCs w:val="8"/>
        </w:rPr>
      </w:pPr>
    </w:p>
  </w:footnote>
  <w:footnote w:id="2">
    <w:p w:rsidR="008C6B69" w:rsidRPr="002842D6" w:rsidRDefault="008C6B69" w:rsidP="002842D6">
      <w:pPr>
        <w:pStyle w:val="FutureAfiliacja"/>
        <w:rPr>
          <w:spacing w:val="-1"/>
        </w:rPr>
      </w:pPr>
      <w:r w:rsidRPr="00E83751">
        <w:rPr>
          <w:rStyle w:val="Odwoanieprzypisudolnego"/>
          <w:szCs w:val="18"/>
        </w:rPr>
        <w:t>*</w:t>
      </w:r>
      <w:r w:rsidRPr="00E83751">
        <w:t> </w:t>
      </w:r>
      <w:r w:rsidRPr="00F16B10">
        <w:t>Mgr, absolwent Uniwersytetu Łódzkiego</w:t>
      </w:r>
      <w:r>
        <w:t xml:space="preserve">, </w:t>
      </w:r>
      <w:r w:rsidRPr="00F16B10">
        <w:t>Wydziału Ekonomiczno-Socjologicznego</w:t>
      </w:r>
      <w:r>
        <w:t>,</w:t>
      </w:r>
      <w:r w:rsidRPr="00F16B10">
        <w:rPr>
          <w:rFonts w:eastAsiaTheme="minorHAnsi"/>
          <w:sz w:val="20"/>
          <w:szCs w:val="20"/>
          <w:lang w:eastAsia="en-US"/>
        </w:rPr>
        <w:t xml:space="preserve"> </w:t>
      </w:r>
      <w:r w:rsidRPr="00F16B10">
        <w:t>ki</w:t>
      </w:r>
      <w:r w:rsidRPr="00F16B10">
        <w:t>e</w:t>
      </w:r>
      <w:r w:rsidRPr="00F16B10">
        <w:t>runku Finanse i Rachunkowość</w:t>
      </w:r>
      <w:r w:rsidRPr="002842D6">
        <w:rPr>
          <w:spacing w:val="-1"/>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69" w:rsidRDefault="000C306E" w:rsidP="00A95A7B">
    <w:pPr>
      <w:pStyle w:val="Nagwek"/>
      <w:rPr>
        <w:szCs w:val="16"/>
      </w:rPr>
    </w:pPr>
    <w:r>
      <w:rPr>
        <w:noProof/>
        <w:szCs w:val="16"/>
      </w:rPr>
      <w:pict>
        <v:shapetype id="_x0000_t202" coordsize="21600,21600" o:spt="202" path="m,l,21600r21600,l21600,xe">
          <v:stroke joinstyle="miter"/>
          <v:path gradientshapeok="t" o:connecttype="rect"/>
        </v:shapetype>
        <v:shape id="_x0000_s2060" type="#_x0000_t202" style="position:absolute;margin-left:-1.25pt;margin-top:-51.05pt;width:357.15pt;height:59.2pt;z-index:251658752" fillcolor="#89b137" stroked="f" strokecolor="#89b137">
          <v:fill rotate="t" focus="100%" type="gradient"/>
          <v:textbox inset=".5mm,6.3mm,.5mm">
            <w:txbxContent>
              <w:p w:rsidR="008C6B69" w:rsidRPr="004270F4" w:rsidRDefault="008C6B69" w:rsidP="00A95A7B">
                <w:pPr>
                  <w:spacing w:line="240" w:lineRule="auto"/>
                  <w:rPr>
                    <w:rFonts w:ascii="Arial Narrow" w:hAnsi="Arial Narrow"/>
                    <w:b/>
                    <w:lang w:val="en-US"/>
                  </w:rPr>
                </w:pPr>
                <w:proofErr w:type="spellStart"/>
                <w:r w:rsidRPr="004270F4">
                  <w:rPr>
                    <w:rFonts w:ascii="Arial Narrow" w:hAnsi="Arial Narrow"/>
                    <w:b/>
                    <w:lang w:val="en-US"/>
                  </w:rPr>
                  <w:t>Finanse</w:t>
                </w:r>
                <w:proofErr w:type="spellEnd"/>
                <w:r w:rsidRPr="004270F4">
                  <w:rPr>
                    <w:rFonts w:ascii="Arial Narrow" w:hAnsi="Arial Narrow"/>
                    <w:b/>
                    <w:lang w:val="en-US"/>
                  </w:rPr>
                  <w:t xml:space="preserve"> </w:t>
                </w:r>
                <w:proofErr w:type="spellStart"/>
                <w:r w:rsidRPr="004270F4">
                  <w:rPr>
                    <w:rFonts w:ascii="Arial Narrow" w:hAnsi="Arial Narrow"/>
                    <w:b/>
                    <w:lang w:val="en-US"/>
                  </w:rPr>
                  <w:t>i</w:t>
                </w:r>
                <w:proofErr w:type="spellEnd"/>
                <w:r w:rsidRPr="004270F4">
                  <w:rPr>
                    <w:rFonts w:ascii="Arial Narrow" w:hAnsi="Arial Narrow"/>
                    <w:b/>
                    <w:lang w:val="en-US"/>
                  </w:rPr>
                  <w:t xml:space="preserve"> </w:t>
                </w:r>
                <w:proofErr w:type="spellStart"/>
                <w:r w:rsidRPr="004270F4">
                  <w:rPr>
                    <w:rFonts w:ascii="Arial Narrow" w:hAnsi="Arial Narrow"/>
                    <w:b/>
                    <w:lang w:val="en-US"/>
                  </w:rPr>
                  <w:t>Prawo</w:t>
                </w:r>
                <w:proofErr w:type="spellEnd"/>
                <w:r w:rsidRPr="004270F4">
                  <w:rPr>
                    <w:rFonts w:ascii="Arial Narrow" w:hAnsi="Arial Narrow"/>
                    <w:b/>
                    <w:lang w:val="en-US"/>
                  </w:rPr>
                  <w:t xml:space="preserve"> </w:t>
                </w:r>
                <w:proofErr w:type="spellStart"/>
                <w:r w:rsidRPr="004270F4">
                  <w:rPr>
                    <w:rFonts w:ascii="Arial Narrow" w:hAnsi="Arial Narrow"/>
                    <w:b/>
                    <w:lang w:val="en-US"/>
                  </w:rPr>
                  <w:t>Finansowe</w:t>
                </w:r>
                <w:proofErr w:type="spellEnd"/>
                <w:r w:rsidRPr="004270F4">
                  <w:rPr>
                    <w:rFonts w:ascii="Arial Narrow" w:hAnsi="Arial Narrow"/>
                    <w:b/>
                    <w:lang w:val="en-US"/>
                  </w:rPr>
                  <w:t xml:space="preserve"> • Journal of Finance and Financial Law • 2014, vol. </w:t>
                </w:r>
                <w:r w:rsidR="00AF037B">
                  <w:rPr>
                    <w:rFonts w:ascii="Arial Narrow" w:hAnsi="Arial Narrow"/>
                    <w:b/>
                    <w:lang w:val="en-US"/>
                  </w:rPr>
                  <w:t xml:space="preserve">3, s. </w:t>
                </w:r>
                <w:r w:rsidR="00B65230">
                  <w:rPr>
                    <w:rFonts w:ascii="Arial Narrow" w:hAnsi="Arial Narrow"/>
                    <w:b/>
                    <w:lang w:val="en-US"/>
                  </w:rPr>
                  <w:t>79</w:t>
                </w:r>
                <w:r w:rsidR="00AF037B">
                  <w:rPr>
                    <w:rFonts w:ascii="Arial Narrow" w:hAnsi="Arial Narrow"/>
                    <w:b/>
                    <w:lang w:val="en-US"/>
                  </w:rPr>
                  <w:t>–</w:t>
                </w:r>
                <w:r w:rsidR="00B65230">
                  <w:rPr>
                    <w:rFonts w:ascii="Arial Narrow" w:hAnsi="Arial Narrow"/>
                    <w:b/>
                    <w:lang w:val="en-US"/>
                  </w:rPr>
                  <w:t>92</w:t>
                </w:r>
              </w:p>
              <w:p w:rsidR="008C6B69" w:rsidRPr="00A56A97" w:rsidRDefault="008C6B69" w:rsidP="00A95A7B">
                <w:pPr>
                  <w:spacing w:line="240" w:lineRule="auto"/>
                  <w:rPr>
                    <w:rFonts w:ascii="Arial Narrow" w:hAnsi="Arial Narrow"/>
                    <w:i/>
                    <w:sz w:val="2"/>
                    <w:lang w:val="en-GB"/>
                  </w:rPr>
                </w:pPr>
              </w:p>
              <w:p w:rsidR="008C6B69" w:rsidRPr="004270F4" w:rsidRDefault="008C6B69" w:rsidP="00A95A7B">
                <w:pPr>
                  <w:spacing w:line="240" w:lineRule="auto"/>
                  <w:rPr>
                    <w:rFonts w:ascii="Arial Narrow" w:hAnsi="Arial Narrow"/>
                    <w:i/>
                    <w:sz w:val="16"/>
                  </w:rPr>
                </w:pPr>
                <w:r>
                  <w:rPr>
                    <w:rFonts w:ascii="Arial Narrow" w:hAnsi="Arial Narrow"/>
                    <w:sz w:val="16"/>
                  </w:rPr>
                  <w:t>Jacek Zawirski</w:t>
                </w:r>
                <w:r w:rsidRPr="006E00F9">
                  <w:rPr>
                    <w:rFonts w:ascii="Arial Narrow" w:hAnsi="Arial Narrow"/>
                    <w:sz w:val="16"/>
                  </w:rPr>
                  <w:t>,</w:t>
                </w:r>
                <w:r>
                  <w:rPr>
                    <w:rFonts w:ascii="Arial Narrow" w:hAnsi="Arial Narrow"/>
                    <w:i/>
                    <w:sz w:val="16"/>
                  </w:rPr>
                  <w:t xml:space="preserve"> Polityka pieniężna a stabilność rynków finansowych…</w:t>
                </w:r>
              </w:p>
            </w:txbxContent>
          </v:textbox>
        </v:shape>
      </w:pict>
    </w:r>
  </w:p>
  <w:p w:rsidR="008C6B69" w:rsidRPr="00A95A7B" w:rsidRDefault="000C306E" w:rsidP="00A95A7B">
    <w:pPr>
      <w:pStyle w:val="Nagwek"/>
      <w:rPr>
        <w:szCs w:val="16"/>
      </w:rPr>
    </w:pPr>
    <w:r>
      <w:rPr>
        <w:noProof/>
        <w:szCs w:val="16"/>
      </w:rPr>
      <w:pict>
        <v:line id="_x0000_s2062" style="position:absolute;z-index:251660800" from="-1.25pt,2.05pt" to="355.9pt,2.05pt" strokecolor="#89b137"/>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69" w:rsidRDefault="000C306E" w:rsidP="00A95A7B">
    <w:pPr>
      <w:pStyle w:val="Nagwek"/>
    </w:pPr>
    <w:r>
      <w:rPr>
        <w:noProof/>
      </w:rPr>
      <w:pict>
        <v:shapetype id="_x0000_t202" coordsize="21600,21600" o:spt="202" path="m,l,21600r21600,l21600,xe">
          <v:stroke joinstyle="miter"/>
          <v:path gradientshapeok="t" o:connecttype="rect"/>
        </v:shapetype>
        <v:shape id="_x0000_s2061" type="#_x0000_t202" style="position:absolute;margin-left:-1.8pt;margin-top:-51.05pt;width:357.15pt;height:58.45pt;z-index:251659776" fillcolor="#89b137" stroked="f" strokecolor="#89b137">
          <v:fill rotate="t" focus="100%" type="gradient"/>
          <v:textbox inset=".5mm,6.3mm,.5mm">
            <w:txbxContent>
              <w:p w:rsidR="008C6B69" w:rsidRPr="004270F4" w:rsidRDefault="008C6B69" w:rsidP="00AF037B">
                <w:pPr>
                  <w:spacing w:line="240" w:lineRule="auto"/>
                  <w:jc w:val="right"/>
                  <w:rPr>
                    <w:rFonts w:ascii="Arial Narrow" w:hAnsi="Arial Narrow"/>
                    <w:b/>
                    <w:lang w:val="en-US"/>
                  </w:rPr>
                </w:pPr>
                <w:proofErr w:type="spellStart"/>
                <w:r w:rsidRPr="004270F4">
                  <w:rPr>
                    <w:rFonts w:ascii="Arial Narrow" w:hAnsi="Arial Narrow"/>
                    <w:b/>
                    <w:lang w:val="en-US"/>
                  </w:rPr>
                  <w:t>Finanse</w:t>
                </w:r>
                <w:proofErr w:type="spellEnd"/>
                <w:r w:rsidRPr="004270F4">
                  <w:rPr>
                    <w:rFonts w:ascii="Arial Narrow" w:hAnsi="Arial Narrow"/>
                    <w:b/>
                    <w:lang w:val="en-US"/>
                  </w:rPr>
                  <w:t xml:space="preserve"> </w:t>
                </w:r>
                <w:proofErr w:type="spellStart"/>
                <w:r w:rsidRPr="004270F4">
                  <w:rPr>
                    <w:rFonts w:ascii="Arial Narrow" w:hAnsi="Arial Narrow"/>
                    <w:b/>
                    <w:lang w:val="en-US"/>
                  </w:rPr>
                  <w:t>i</w:t>
                </w:r>
                <w:proofErr w:type="spellEnd"/>
                <w:r w:rsidRPr="004270F4">
                  <w:rPr>
                    <w:rFonts w:ascii="Arial Narrow" w:hAnsi="Arial Narrow"/>
                    <w:b/>
                    <w:lang w:val="en-US"/>
                  </w:rPr>
                  <w:t xml:space="preserve"> </w:t>
                </w:r>
                <w:proofErr w:type="spellStart"/>
                <w:r w:rsidRPr="004270F4">
                  <w:rPr>
                    <w:rFonts w:ascii="Arial Narrow" w:hAnsi="Arial Narrow"/>
                    <w:b/>
                    <w:lang w:val="en-US"/>
                  </w:rPr>
                  <w:t>Prawo</w:t>
                </w:r>
                <w:proofErr w:type="spellEnd"/>
                <w:r w:rsidRPr="004270F4">
                  <w:rPr>
                    <w:rFonts w:ascii="Arial Narrow" w:hAnsi="Arial Narrow"/>
                    <w:b/>
                    <w:lang w:val="en-US"/>
                  </w:rPr>
                  <w:t xml:space="preserve"> </w:t>
                </w:r>
                <w:proofErr w:type="spellStart"/>
                <w:r w:rsidRPr="004270F4">
                  <w:rPr>
                    <w:rFonts w:ascii="Arial Narrow" w:hAnsi="Arial Narrow"/>
                    <w:b/>
                    <w:lang w:val="en-US"/>
                  </w:rPr>
                  <w:t>Finansowe</w:t>
                </w:r>
                <w:proofErr w:type="spellEnd"/>
                <w:r w:rsidRPr="004270F4">
                  <w:rPr>
                    <w:rFonts w:ascii="Arial Narrow" w:hAnsi="Arial Narrow"/>
                    <w:b/>
                    <w:lang w:val="en-US"/>
                  </w:rPr>
                  <w:t xml:space="preserve"> • Journal of Finance and Financial Law • 2014, vol. </w:t>
                </w:r>
                <w:r w:rsidR="00AF037B">
                  <w:rPr>
                    <w:rFonts w:ascii="Arial Narrow" w:hAnsi="Arial Narrow"/>
                    <w:b/>
                    <w:lang w:val="en-US"/>
                  </w:rPr>
                  <w:t>3</w:t>
                </w:r>
                <w:r w:rsidRPr="004270F4">
                  <w:rPr>
                    <w:rFonts w:ascii="Arial Narrow" w:hAnsi="Arial Narrow"/>
                    <w:b/>
                    <w:lang w:val="en-US"/>
                  </w:rPr>
                  <w:t xml:space="preserve">, s. </w:t>
                </w:r>
                <w:r w:rsidR="00B65230">
                  <w:rPr>
                    <w:rFonts w:ascii="Arial Narrow" w:hAnsi="Arial Narrow"/>
                    <w:b/>
                    <w:lang w:val="en-US"/>
                  </w:rPr>
                  <w:t>79</w:t>
                </w:r>
                <w:r w:rsidR="00AF037B">
                  <w:rPr>
                    <w:rFonts w:ascii="Arial Narrow" w:hAnsi="Arial Narrow"/>
                    <w:b/>
                    <w:lang w:val="en-US"/>
                  </w:rPr>
                  <w:t>–</w:t>
                </w:r>
                <w:r w:rsidR="00B65230">
                  <w:rPr>
                    <w:rFonts w:ascii="Arial Narrow" w:hAnsi="Arial Narrow"/>
                    <w:b/>
                    <w:lang w:val="en-US"/>
                  </w:rPr>
                  <w:t>92</w:t>
                </w:r>
              </w:p>
              <w:p w:rsidR="008C6B69" w:rsidRPr="00A56A97" w:rsidRDefault="008C6B69" w:rsidP="00AF037B">
                <w:pPr>
                  <w:spacing w:line="240" w:lineRule="auto"/>
                  <w:jc w:val="right"/>
                  <w:rPr>
                    <w:rFonts w:ascii="Arial Narrow" w:hAnsi="Arial Narrow"/>
                    <w:i/>
                    <w:sz w:val="2"/>
                    <w:lang w:val="en-GB"/>
                  </w:rPr>
                </w:pPr>
              </w:p>
              <w:p w:rsidR="00AF037B" w:rsidRPr="004270F4" w:rsidRDefault="00AF037B" w:rsidP="00AF037B">
                <w:pPr>
                  <w:spacing w:line="240" w:lineRule="auto"/>
                  <w:jc w:val="right"/>
                  <w:rPr>
                    <w:rFonts w:ascii="Arial Narrow" w:hAnsi="Arial Narrow"/>
                    <w:i/>
                    <w:sz w:val="16"/>
                  </w:rPr>
                </w:pPr>
                <w:r>
                  <w:rPr>
                    <w:rFonts w:ascii="Arial Narrow" w:hAnsi="Arial Narrow"/>
                    <w:sz w:val="16"/>
                  </w:rPr>
                  <w:t>Jacek Zawirski</w:t>
                </w:r>
                <w:r w:rsidRPr="006E00F9">
                  <w:rPr>
                    <w:rFonts w:ascii="Arial Narrow" w:hAnsi="Arial Narrow"/>
                    <w:sz w:val="16"/>
                  </w:rPr>
                  <w:t>,</w:t>
                </w:r>
                <w:r>
                  <w:rPr>
                    <w:rFonts w:ascii="Arial Narrow" w:hAnsi="Arial Narrow"/>
                    <w:i/>
                    <w:sz w:val="16"/>
                  </w:rPr>
                  <w:t xml:space="preserve"> Polityka pieniężna a stabilność rynków finansowych…</w:t>
                </w:r>
              </w:p>
              <w:p w:rsidR="008C6B69" w:rsidRPr="004270F4" w:rsidRDefault="008C6B69" w:rsidP="00AF037B">
                <w:pPr>
                  <w:spacing w:line="240" w:lineRule="auto"/>
                  <w:rPr>
                    <w:rFonts w:ascii="Arial Narrow" w:hAnsi="Arial Narrow"/>
                    <w:i/>
                    <w:sz w:val="16"/>
                  </w:rPr>
                </w:pPr>
              </w:p>
            </w:txbxContent>
          </v:textbox>
        </v:shape>
      </w:pict>
    </w:r>
    <w:r>
      <w:rPr>
        <w:noProof/>
      </w:rPr>
      <w:pict>
        <v:line id="_x0000_s2063" style="position:absolute;z-index:251661824" from="-1.8pt,14.9pt" to="355.35pt,14.9pt" strokecolor="#89b137"/>
      </w:pict>
    </w:r>
  </w:p>
  <w:p w:rsidR="008C6B69" w:rsidRPr="00A95A7B" w:rsidRDefault="008C6B69" w:rsidP="00A95A7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69" w:rsidRPr="00A95A7B" w:rsidRDefault="000C306E" w:rsidP="00267DC4">
    <w:pPr>
      <w:pStyle w:val="Nagwek"/>
      <w:spacing w:line="240" w:lineRule="auto"/>
      <w:jc w:val="right"/>
      <w:rPr>
        <w:rFonts w:ascii="Arial Narrow" w:hAnsi="Arial Narrow"/>
        <w:b/>
        <w:color w:val="676C72"/>
        <w:sz w:val="24"/>
        <w:szCs w:val="22"/>
      </w:rPr>
    </w:pPr>
    <w:r w:rsidRPr="000C306E">
      <w:rPr>
        <w:rFonts w:ascii="Arial Narrow" w:hAnsi="Arial Narrow"/>
        <w:b/>
        <w:noProof/>
        <w:color w:val="676C72"/>
        <w:spacing w:val="135"/>
        <w:sz w:val="24"/>
        <w:szCs w:val="22"/>
      </w:rPr>
      <w:pict>
        <v:shapetype id="_x0000_t202" coordsize="21600,21600" o:spt="202" path="m,l,21600r21600,l21600,xe">
          <v:stroke joinstyle="miter"/>
          <v:path gradientshapeok="t" o:connecttype="rect"/>
        </v:shapetype>
        <v:shape id="_x0000_s2050" type="#_x0000_t202" style="position:absolute;left:0;text-align:left;margin-left:-.5pt;margin-top:-51.05pt;width:357.15pt;height:59.2pt;z-index:251654656" fillcolor="#89b137" stroked="f" strokecolor="#89b137">
          <v:fill rotate="t" focus="100%" type="gradient"/>
          <v:textbox style="mso-next-textbox:#_x0000_s2050" inset=".5mm,6.3mm,.5mm">
            <w:txbxContent>
              <w:p w:rsidR="008C6B69" w:rsidRPr="004270F4" w:rsidRDefault="008C6B69" w:rsidP="00AF037B">
                <w:pPr>
                  <w:spacing w:line="240" w:lineRule="auto"/>
                  <w:jc w:val="right"/>
                  <w:rPr>
                    <w:rFonts w:ascii="Arial Narrow" w:hAnsi="Arial Narrow"/>
                    <w:b/>
                    <w:lang w:val="en-US"/>
                  </w:rPr>
                </w:pPr>
                <w:proofErr w:type="spellStart"/>
                <w:r w:rsidRPr="004270F4">
                  <w:rPr>
                    <w:rFonts w:ascii="Arial Narrow" w:hAnsi="Arial Narrow"/>
                    <w:b/>
                    <w:lang w:val="en-US"/>
                  </w:rPr>
                  <w:t>Finanse</w:t>
                </w:r>
                <w:proofErr w:type="spellEnd"/>
                <w:r w:rsidRPr="004270F4">
                  <w:rPr>
                    <w:rFonts w:ascii="Arial Narrow" w:hAnsi="Arial Narrow"/>
                    <w:b/>
                    <w:lang w:val="en-US"/>
                  </w:rPr>
                  <w:t xml:space="preserve"> </w:t>
                </w:r>
                <w:proofErr w:type="spellStart"/>
                <w:r w:rsidRPr="004270F4">
                  <w:rPr>
                    <w:rFonts w:ascii="Arial Narrow" w:hAnsi="Arial Narrow"/>
                    <w:b/>
                    <w:lang w:val="en-US"/>
                  </w:rPr>
                  <w:t>i</w:t>
                </w:r>
                <w:proofErr w:type="spellEnd"/>
                <w:r w:rsidRPr="004270F4">
                  <w:rPr>
                    <w:rFonts w:ascii="Arial Narrow" w:hAnsi="Arial Narrow"/>
                    <w:b/>
                    <w:lang w:val="en-US"/>
                  </w:rPr>
                  <w:t xml:space="preserve"> </w:t>
                </w:r>
                <w:proofErr w:type="spellStart"/>
                <w:r w:rsidRPr="004270F4">
                  <w:rPr>
                    <w:rFonts w:ascii="Arial Narrow" w:hAnsi="Arial Narrow"/>
                    <w:b/>
                    <w:lang w:val="en-US"/>
                  </w:rPr>
                  <w:t>Prawo</w:t>
                </w:r>
                <w:proofErr w:type="spellEnd"/>
                <w:r w:rsidRPr="004270F4">
                  <w:rPr>
                    <w:rFonts w:ascii="Arial Narrow" w:hAnsi="Arial Narrow"/>
                    <w:b/>
                    <w:lang w:val="en-US"/>
                  </w:rPr>
                  <w:t xml:space="preserve"> </w:t>
                </w:r>
                <w:proofErr w:type="spellStart"/>
                <w:r w:rsidRPr="004270F4">
                  <w:rPr>
                    <w:rFonts w:ascii="Arial Narrow" w:hAnsi="Arial Narrow"/>
                    <w:b/>
                    <w:lang w:val="en-US"/>
                  </w:rPr>
                  <w:t>Finansowe</w:t>
                </w:r>
                <w:proofErr w:type="spellEnd"/>
                <w:r w:rsidRPr="004270F4">
                  <w:rPr>
                    <w:rFonts w:ascii="Arial Narrow" w:hAnsi="Arial Narrow"/>
                    <w:b/>
                    <w:lang w:val="en-US"/>
                  </w:rPr>
                  <w:t xml:space="preserve"> • Journal of Finance and Finan</w:t>
                </w:r>
                <w:r w:rsidR="00B65230">
                  <w:rPr>
                    <w:rFonts w:ascii="Arial Narrow" w:hAnsi="Arial Narrow"/>
                    <w:b/>
                    <w:lang w:val="en-US"/>
                  </w:rPr>
                  <w:t>cial Law • 2014, vol. 3, s. 79–92</w:t>
                </w:r>
              </w:p>
              <w:p w:rsidR="008C6B69" w:rsidRPr="00A56A97" w:rsidRDefault="008C6B69" w:rsidP="00AF037B">
                <w:pPr>
                  <w:spacing w:line="240" w:lineRule="auto"/>
                  <w:jc w:val="right"/>
                  <w:rPr>
                    <w:rFonts w:ascii="Arial Narrow" w:hAnsi="Arial Narrow"/>
                    <w:i/>
                    <w:sz w:val="2"/>
                    <w:lang w:val="en-GB"/>
                  </w:rPr>
                </w:pPr>
              </w:p>
              <w:p w:rsidR="008C6B69" w:rsidRPr="004270F4" w:rsidRDefault="008C6B69" w:rsidP="00AF037B">
                <w:pPr>
                  <w:spacing w:line="240" w:lineRule="auto"/>
                  <w:jc w:val="right"/>
                  <w:rPr>
                    <w:rFonts w:ascii="Arial Narrow" w:hAnsi="Arial Narrow"/>
                    <w:i/>
                    <w:sz w:val="16"/>
                  </w:rPr>
                </w:pPr>
                <w:r>
                  <w:rPr>
                    <w:rFonts w:ascii="Arial Narrow" w:hAnsi="Arial Narrow"/>
                    <w:sz w:val="16"/>
                  </w:rPr>
                  <w:t>Jacek Zawirski</w:t>
                </w:r>
                <w:r w:rsidRPr="006E00F9">
                  <w:rPr>
                    <w:rFonts w:ascii="Arial Narrow" w:hAnsi="Arial Narrow"/>
                    <w:sz w:val="16"/>
                  </w:rPr>
                  <w:t>,</w:t>
                </w:r>
                <w:r>
                  <w:rPr>
                    <w:rFonts w:ascii="Arial Narrow" w:hAnsi="Arial Narrow"/>
                    <w:i/>
                    <w:sz w:val="16"/>
                  </w:rPr>
                  <w:t xml:space="preserve"> Polityka pieniężna a stabilność rynków finansowych…</w:t>
                </w:r>
              </w:p>
            </w:txbxContent>
          </v:textbox>
        </v:shape>
      </w:pict>
    </w:r>
    <w:r w:rsidRPr="000C306E">
      <w:rPr>
        <w:rFonts w:ascii="Arial Narrow" w:hAnsi="Arial Narrow"/>
        <w:b/>
        <w:noProof/>
        <w:color w:val="676C72"/>
        <w:spacing w:val="50"/>
        <w:sz w:val="28"/>
        <w:szCs w:val="22"/>
      </w:rPr>
      <w:pict>
        <v:shapetype id="_x0000_t32" coordsize="21600,21600" o:spt="32" o:oned="t" path="m,l21600,21600e" filled="f">
          <v:path arrowok="t" fillok="f" o:connecttype="none"/>
          <o:lock v:ext="edit" shapetype="t"/>
        </v:shapetype>
        <v:shape id="_x0000_s2049" type="#_x0000_t32" style="position:absolute;left:0;text-align:left;margin-left:-.5pt;margin-top:18.45pt;width:357.15pt;height:.05pt;z-index:251653632" o:connectortype="straight" strokecolor="#89b137" strokeweight="5.25pt"/>
      </w:pict>
    </w:r>
  </w:p>
  <w:p w:rsidR="008C6B69" w:rsidRDefault="008C6B69" w:rsidP="00267DC4">
    <w:pPr>
      <w:pStyle w:val="Nagwek"/>
      <w:spacing w:line="240" w:lineRule="auto"/>
      <w:jc w:val="center"/>
      <w:rPr>
        <w:rFonts w:ascii="Arial Narrow" w:hAnsi="Arial Narrow"/>
        <w:b/>
        <w:color w:val="676C72"/>
        <w:spacing w:val="114"/>
        <w:sz w:val="28"/>
        <w:szCs w:val="22"/>
      </w:rPr>
    </w:pPr>
  </w:p>
  <w:p w:rsidR="008C6B69" w:rsidRPr="00E70E7A" w:rsidRDefault="008C6B69" w:rsidP="00267DC4">
    <w:pPr>
      <w:pStyle w:val="Nagwek"/>
      <w:spacing w:line="240" w:lineRule="auto"/>
      <w:jc w:val="center"/>
      <w:rPr>
        <w:rFonts w:ascii="Arial Narrow" w:hAnsi="Arial Narrow"/>
        <w:b/>
        <w:color w:val="676C72"/>
        <w:spacing w:val="114"/>
        <w:szCs w:val="22"/>
      </w:rPr>
    </w:pPr>
    <w:r w:rsidRPr="00E70E7A">
      <w:rPr>
        <w:rFonts w:ascii="Arial Narrow" w:hAnsi="Arial Narrow"/>
        <w:b/>
        <w:color w:val="676C72"/>
        <w:spacing w:val="114"/>
        <w:sz w:val="28"/>
        <w:szCs w:val="22"/>
      </w:rPr>
      <w:t>• FINANSE I PRAWO FINANSOWE •</w:t>
    </w:r>
  </w:p>
  <w:p w:rsidR="008C6B69" w:rsidRDefault="000C306E" w:rsidP="00267DC4">
    <w:pPr>
      <w:pStyle w:val="Nagwek"/>
      <w:spacing w:line="240" w:lineRule="auto"/>
      <w:jc w:val="right"/>
      <w:rPr>
        <w:rFonts w:ascii="Arial Narrow" w:hAnsi="Arial Narrow"/>
        <w:b/>
        <w:color w:val="676C72"/>
        <w:spacing w:val="50"/>
        <w:szCs w:val="22"/>
        <w:lang w:val="en-US"/>
      </w:rPr>
    </w:pPr>
    <w:r w:rsidRPr="000C306E">
      <w:rPr>
        <w:rFonts w:ascii="Arial Narrow" w:hAnsi="Arial Narrow"/>
        <w:b/>
        <w:noProof/>
        <w:color w:val="676C72"/>
        <w:spacing w:val="135"/>
        <w:szCs w:val="22"/>
      </w:rPr>
      <w:pict>
        <v:shape id="_x0000_s2055" type="#_x0000_t202" style="position:absolute;left:0;text-align:left;margin-left:-.5pt;margin-top:6.25pt;width:75.95pt;height:19.5pt;z-index:251657728" stroked="f" strokecolor="#676c72">
          <v:fill opacity="0"/>
          <v:textbox style="mso-next-textbox:#_x0000_s2055" inset="0,1.5mm,0,0">
            <w:txbxContent>
              <w:p w:rsidR="008C6B69" w:rsidRPr="00A56A97" w:rsidRDefault="008C6B69" w:rsidP="00267DC4">
                <w:pPr>
                  <w:rPr>
                    <w:sz w:val="16"/>
                  </w:rPr>
                </w:pPr>
                <w:r w:rsidRPr="00A56A97">
                  <w:rPr>
                    <w:rFonts w:ascii="Arial Narrow" w:hAnsi="Arial Narrow"/>
                    <w:color w:val="676C72"/>
                    <w:sz w:val="16"/>
                    <w:szCs w:val="22"/>
                  </w:rPr>
                  <w:t>ISSN 2353-5601</w:t>
                </w:r>
              </w:p>
            </w:txbxContent>
          </v:textbox>
        </v:shape>
      </w:pict>
    </w:r>
    <w:r w:rsidRPr="000C306E">
      <w:rPr>
        <w:rFonts w:ascii="Arial Narrow" w:hAnsi="Arial Narrow"/>
        <w:b/>
        <w:noProof/>
        <w:color w:val="676C72"/>
        <w:spacing w:val="135"/>
        <w:szCs w:val="22"/>
      </w:rPr>
      <w:pict>
        <v:group id="_x0000_s2052" style="position:absolute;left:0;text-align:left;margin-left:85.95pt;margin-top:5.05pt;width:270.7pt;height:22.45pt;z-index:251656704" coordorigin="2910,1629" coordsize="5414,306">
          <v:shape id="_x0000_s2053" type="#_x0000_t202" style="position:absolute;left:2910;top:1629;width:3750;height:282" filled="f" fillcolor="#676c72" stroked="f" strokecolor="#676c72">
            <v:textbox style="mso-next-textbox:#_x0000_s2053" inset="0,1.7mm,0,0">
              <w:txbxContent>
                <w:p w:rsidR="008C6B69" w:rsidRPr="00E70E7A" w:rsidRDefault="008C6B69" w:rsidP="00267DC4">
                  <w:pPr>
                    <w:jc w:val="center"/>
                    <w:rPr>
                      <w:b/>
                      <w:sz w:val="22"/>
                      <w:lang w:val="en-US"/>
                    </w:rPr>
                  </w:pPr>
                  <w:r w:rsidRPr="00E70E7A">
                    <w:rPr>
                      <w:rFonts w:ascii="Arial Narrow" w:hAnsi="Arial Narrow"/>
                      <w:b/>
                      <w:color w:val="676C72"/>
                      <w:sz w:val="22"/>
                      <w:szCs w:val="22"/>
                      <w:lang w:val="en-US"/>
                    </w:rPr>
                    <w:t xml:space="preserve">• </w:t>
                  </w:r>
                  <w:r w:rsidRPr="00E70E7A">
                    <w:rPr>
                      <w:rFonts w:ascii="Arial Narrow" w:hAnsi="Arial Narrow"/>
                      <w:color w:val="676C72"/>
                      <w:spacing w:val="10"/>
                      <w:sz w:val="22"/>
                      <w:szCs w:val="22"/>
                      <w:lang w:val="en-US"/>
                    </w:rPr>
                    <w:t>Journal of Finance and Financial Law</w:t>
                  </w:r>
                  <w:r w:rsidRPr="00E70E7A">
                    <w:rPr>
                      <w:rFonts w:ascii="Arial Narrow" w:hAnsi="Arial Narrow"/>
                      <w:b/>
                      <w:color w:val="676C72"/>
                      <w:sz w:val="22"/>
                      <w:szCs w:val="22"/>
                      <w:lang w:val="en-US"/>
                    </w:rPr>
                    <w:t xml:space="preserve"> •</w:t>
                  </w:r>
                </w:p>
              </w:txbxContent>
            </v:textbox>
          </v:shape>
          <v:shape id="_x0000_s2054" type="#_x0000_t202" style="position:absolute;left:7365;top:1653;width:959;height:282" stroked="f" strokecolor="#676c72">
            <v:fill opacity="0"/>
            <v:textbox style="mso-next-textbox:#_x0000_s2054" inset="0,1.5mm,0,0">
              <w:txbxContent>
                <w:p w:rsidR="008C6B69" w:rsidRPr="00A56A97" w:rsidRDefault="008C6B69" w:rsidP="00267DC4">
                  <w:pPr>
                    <w:jc w:val="right"/>
                    <w:rPr>
                      <w:sz w:val="16"/>
                    </w:rPr>
                  </w:pPr>
                  <w:r>
                    <w:rPr>
                      <w:rFonts w:ascii="Arial Narrow" w:hAnsi="Arial Narrow"/>
                      <w:color w:val="676C72"/>
                      <w:sz w:val="16"/>
                      <w:szCs w:val="22"/>
                    </w:rPr>
                    <w:t xml:space="preserve">2014, vol. </w:t>
                  </w:r>
                  <w:r w:rsidR="00AF037B">
                    <w:rPr>
                      <w:rFonts w:ascii="Arial Narrow" w:hAnsi="Arial Narrow"/>
                      <w:color w:val="676C72"/>
                      <w:sz w:val="16"/>
                      <w:szCs w:val="22"/>
                    </w:rPr>
                    <w:t>3</w:t>
                  </w:r>
                </w:p>
              </w:txbxContent>
            </v:textbox>
          </v:shape>
        </v:group>
      </w:pict>
    </w:r>
    <w:r w:rsidR="008C6B69" w:rsidRPr="00A56A97">
      <w:rPr>
        <w:rFonts w:ascii="Arial Narrow" w:hAnsi="Arial Narrow"/>
        <w:b/>
        <w:color w:val="676C72"/>
        <w:spacing w:val="80"/>
        <w:sz w:val="22"/>
        <w:szCs w:val="22"/>
      </w:rPr>
      <w:t xml:space="preserve"> </w:t>
    </w:r>
    <w:r w:rsidR="008C6B69" w:rsidRPr="00A56A97">
      <w:rPr>
        <w:rFonts w:ascii="Arial Narrow" w:hAnsi="Arial Narrow"/>
        <w:b/>
        <w:color w:val="676C72"/>
        <w:spacing w:val="80"/>
        <w:sz w:val="2"/>
        <w:szCs w:val="22"/>
      </w:rPr>
      <w:t xml:space="preserve">                                                                         </w:t>
    </w:r>
  </w:p>
  <w:p w:rsidR="008C6B69" w:rsidRDefault="008C6B69" w:rsidP="00267DC4">
    <w:pPr>
      <w:pStyle w:val="Nagwek"/>
      <w:spacing w:line="240" w:lineRule="auto"/>
      <w:jc w:val="right"/>
      <w:rPr>
        <w:rFonts w:ascii="Arial Narrow" w:hAnsi="Arial Narrow"/>
        <w:b/>
        <w:color w:val="676C72"/>
        <w:spacing w:val="50"/>
        <w:szCs w:val="22"/>
        <w:lang w:val="en-US"/>
      </w:rPr>
    </w:pPr>
  </w:p>
  <w:p w:rsidR="008C6B69" w:rsidRPr="00267DC4" w:rsidRDefault="000C306E" w:rsidP="00267DC4">
    <w:pPr>
      <w:pStyle w:val="Nagwek"/>
      <w:rPr>
        <w:szCs w:val="14"/>
      </w:rPr>
    </w:pPr>
    <w:r w:rsidRPr="000C306E">
      <w:rPr>
        <w:rFonts w:ascii="Arial Narrow" w:hAnsi="Arial Narrow"/>
        <w:b/>
        <w:noProof/>
        <w:color w:val="676C72"/>
        <w:spacing w:val="135"/>
        <w:szCs w:val="22"/>
      </w:rPr>
      <w:pict>
        <v:shape id="_x0000_s2051" type="#_x0000_t32" style="position:absolute;margin-left:-.5pt;margin-top:9.05pt;width:357.15pt;height:.05pt;z-index:251655680" o:connectortype="straight" strokecolor="#89b137"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888"/>
    <w:multiLevelType w:val="hybridMultilevel"/>
    <w:tmpl w:val="EECC89C2"/>
    <w:lvl w:ilvl="0" w:tplc="14BE3560">
      <w:start w:val="1"/>
      <w:numFmt w:val="bullet"/>
      <w:lvlText w:val=""/>
      <w:lvlJc w:val="left"/>
      <w:pPr>
        <w:tabs>
          <w:tab w:val="num" w:pos="2538"/>
        </w:tabs>
        <w:ind w:left="2538" w:hanging="284"/>
      </w:pPr>
      <w:rPr>
        <w:rFonts w:ascii="Symbol" w:hAnsi="Symbol" w:hint="default"/>
      </w:rPr>
    </w:lvl>
    <w:lvl w:ilvl="1" w:tplc="14BE3560">
      <w:start w:val="1"/>
      <w:numFmt w:val="bullet"/>
      <w:lvlText w:val=""/>
      <w:lvlJc w:val="left"/>
      <w:pPr>
        <w:tabs>
          <w:tab w:val="num" w:pos="1818"/>
        </w:tabs>
        <w:ind w:left="1818" w:hanging="284"/>
      </w:pPr>
      <w:rPr>
        <w:rFonts w:ascii="Symbol" w:hAnsi="Symbol" w:hint="default"/>
      </w:rPr>
    </w:lvl>
    <w:lvl w:ilvl="2" w:tplc="04150005" w:tentative="1">
      <w:start w:val="1"/>
      <w:numFmt w:val="bullet"/>
      <w:lvlText w:val=""/>
      <w:lvlJc w:val="left"/>
      <w:pPr>
        <w:tabs>
          <w:tab w:val="num" w:pos="2614"/>
        </w:tabs>
        <w:ind w:left="2614" w:hanging="360"/>
      </w:pPr>
      <w:rPr>
        <w:rFonts w:ascii="Wingdings" w:hAnsi="Wingdings" w:hint="default"/>
      </w:rPr>
    </w:lvl>
    <w:lvl w:ilvl="3" w:tplc="04150001" w:tentative="1">
      <w:start w:val="1"/>
      <w:numFmt w:val="bullet"/>
      <w:lvlText w:val=""/>
      <w:lvlJc w:val="left"/>
      <w:pPr>
        <w:tabs>
          <w:tab w:val="num" w:pos="3334"/>
        </w:tabs>
        <w:ind w:left="3334" w:hanging="360"/>
      </w:pPr>
      <w:rPr>
        <w:rFonts w:ascii="Symbol" w:hAnsi="Symbol" w:hint="default"/>
      </w:rPr>
    </w:lvl>
    <w:lvl w:ilvl="4" w:tplc="04150003" w:tentative="1">
      <w:start w:val="1"/>
      <w:numFmt w:val="bullet"/>
      <w:lvlText w:val="o"/>
      <w:lvlJc w:val="left"/>
      <w:pPr>
        <w:tabs>
          <w:tab w:val="num" w:pos="4054"/>
        </w:tabs>
        <w:ind w:left="4054" w:hanging="360"/>
      </w:pPr>
      <w:rPr>
        <w:rFonts w:ascii="Courier New" w:hAnsi="Courier New" w:cs="Courier New" w:hint="default"/>
      </w:rPr>
    </w:lvl>
    <w:lvl w:ilvl="5" w:tplc="04150005" w:tentative="1">
      <w:start w:val="1"/>
      <w:numFmt w:val="bullet"/>
      <w:lvlText w:val=""/>
      <w:lvlJc w:val="left"/>
      <w:pPr>
        <w:tabs>
          <w:tab w:val="num" w:pos="4774"/>
        </w:tabs>
        <w:ind w:left="4774" w:hanging="360"/>
      </w:pPr>
      <w:rPr>
        <w:rFonts w:ascii="Wingdings" w:hAnsi="Wingdings" w:hint="default"/>
      </w:rPr>
    </w:lvl>
    <w:lvl w:ilvl="6" w:tplc="04150001" w:tentative="1">
      <w:start w:val="1"/>
      <w:numFmt w:val="bullet"/>
      <w:lvlText w:val=""/>
      <w:lvlJc w:val="left"/>
      <w:pPr>
        <w:tabs>
          <w:tab w:val="num" w:pos="5494"/>
        </w:tabs>
        <w:ind w:left="5494" w:hanging="360"/>
      </w:pPr>
      <w:rPr>
        <w:rFonts w:ascii="Symbol" w:hAnsi="Symbol" w:hint="default"/>
      </w:rPr>
    </w:lvl>
    <w:lvl w:ilvl="7" w:tplc="04150003" w:tentative="1">
      <w:start w:val="1"/>
      <w:numFmt w:val="bullet"/>
      <w:lvlText w:val="o"/>
      <w:lvlJc w:val="left"/>
      <w:pPr>
        <w:tabs>
          <w:tab w:val="num" w:pos="6214"/>
        </w:tabs>
        <w:ind w:left="6214" w:hanging="360"/>
      </w:pPr>
      <w:rPr>
        <w:rFonts w:ascii="Courier New" w:hAnsi="Courier New" w:cs="Courier New" w:hint="default"/>
      </w:rPr>
    </w:lvl>
    <w:lvl w:ilvl="8" w:tplc="04150005" w:tentative="1">
      <w:start w:val="1"/>
      <w:numFmt w:val="bullet"/>
      <w:lvlText w:val=""/>
      <w:lvlJc w:val="left"/>
      <w:pPr>
        <w:tabs>
          <w:tab w:val="num" w:pos="6934"/>
        </w:tabs>
        <w:ind w:left="6934" w:hanging="360"/>
      </w:pPr>
      <w:rPr>
        <w:rFonts w:ascii="Wingdings" w:hAnsi="Wingdings" w:hint="default"/>
      </w:rPr>
    </w:lvl>
  </w:abstractNum>
  <w:abstractNum w:abstractNumId="1">
    <w:nsid w:val="066C2041"/>
    <w:multiLevelType w:val="hybridMultilevel"/>
    <w:tmpl w:val="468617F6"/>
    <w:lvl w:ilvl="0" w:tplc="A5F2A974">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9D3139A"/>
    <w:multiLevelType w:val="multilevel"/>
    <w:tmpl w:val="6658D20E"/>
    <w:lvl w:ilvl="0">
      <w:start w:val="1"/>
      <w:numFmt w:val="decimal"/>
      <w:pStyle w:val="Tekstwtabeliwypunktowany8p"/>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204DFA"/>
    <w:multiLevelType w:val="hybridMultilevel"/>
    <w:tmpl w:val="E14CBE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05A510C"/>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FBB3072"/>
    <w:multiLevelType w:val="hybridMultilevel"/>
    <w:tmpl w:val="2990CFA4"/>
    <w:lvl w:ilvl="0" w:tplc="8188CC3C">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44F408FC"/>
    <w:multiLevelType w:val="hybridMultilevel"/>
    <w:tmpl w:val="9FBEE1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5FD3AD4"/>
    <w:multiLevelType w:val="hybridMultilevel"/>
    <w:tmpl w:val="345622EC"/>
    <w:lvl w:ilvl="0" w:tplc="8B8A9382">
      <w:start w:val="1"/>
      <w:numFmt w:val="decimal"/>
      <w:pStyle w:val="Wypunktowanieliczbaznawiasem10p"/>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47B106AA"/>
    <w:multiLevelType w:val="hybridMultilevel"/>
    <w:tmpl w:val="D5D62F62"/>
    <w:lvl w:ilvl="0" w:tplc="14BE3560">
      <w:start w:val="1"/>
      <w:numFmt w:val="bullet"/>
      <w:lvlText w:val=""/>
      <w:lvlJc w:val="left"/>
      <w:pPr>
        <w:tabs>
          <w:tab w:val="num" w:pos="2538"/>
        </w:tabs>
        <w:ind w:left="2538" w:hanging="284"/>
      </w:pPr>
      <w:rPr>
        <w:rFonts w:ascii="Symbol" w:hAnsi="Symbol" w:hint="default"/>
      </w:rPr>
    </w:lvl>
    <w:lvl w:ilvl="1" w:tplc="72744310">
      <w:start w:val="1"/>
      <w:numFmt w:val="bullet"/>
      <w:lvlText w:val=""/>
      <w:lvlJc w:val="left"/>
      <w:pPr>
        <w:tabs>
          <w:tab w:val="num" w:pos="1894"/>
        </w:tabs>
        <w:ind w:left="1817" w:hanging="283"/>
      </w:pPr>
      <w:rPr>
        <w:rFonts w:ascii="Symbol" w:hAnsi="Symbol" w:hint="default"/>
      </w:rPr>
    </w:lvl>
    <w:lvl w:ilvl="2" w:tplc="04150005" w:tentative="1">
      <w:start w:val="1"/>
      <w:numFmt w:val="bullet"/>
      <w:lvlText w:val=""/>
      <w:lvlJc w:val="left"/>
      <w:pPr>
        <w:tabs>
          <w:tab w:val="num" w:pos="2614"/>
        </w:tabs>
        <w:ind w:left="2614" w:hanging="360"/>
      </w:pPr>
      <w:rPr>
        <w:rFonts w:ascii="Wingdings" w:hAnsi="Wingdings" w:hint="default"/>
      </w:rPr>
    </w:lvl>
    <w:lvl w:ilvl="3" w:tplc="04150001" w:tentative="1">
      <w:start w:val="1"/>
      <w:numFmt w:val="bullet"/>
      <w:lvlText w:val=""/>
      <w:lvlJc w:val="left"/>
      <w:pPr>
        <w:tabs>
          <w:tab w:val="num" w:pos="3334"/>
        </w:tabs>
        <w:ind w:left="3334" w:hanging="360"/>
      </w:pPr>
      <w:rPr>
        <w:rFonts w:ascii="Symbol" w:hAnsi="Symbol" w:hint="default"/>
      </w:rPr>
    </w:lvl>
    <w:lvl w:ilvl="4" w:tplc="04150003" w:tentative="1">
      <w:start w:val="1"/>
      <w:numFmt w:val="bullet"/>
      <w:lvlText w:val="o"/>
      <w:lvlJc w:val="left"/>
      <w:pPr>
        <w:tabs>
          <w:tab w:val="num" w:pos="4054"/>
        </w:tabs>
        <w:ind w:left="4054" w:hanging="360"/>
      </w:pPr>
      <w:rPr>
        <w:rFonts w:ascii="Courier New" w:hAnsi="Courier New" w:cs="Courier New" w:hint="default"/>
      </w:rPr>
    </w:lvl>
    <w:lvl w:ilvl="5" w:tplc="04150005" w:tentative="1">
      <w:start w:val="1"/>
      <w:numFmt w:val="bullet"/>
      <w:lvlText w:val=""/>
      <w:lvlJc w:val="left"/>
      <w:pPr>
        <w:tabs>
          <w:tab w:val="num" w:pos="4774"/>
        </w:tabs>
        <w:ind w:left="4774" w:hanging="360"/>
      </w:pPr>
      <w:rPr>
        <w:rFonts w:ascii="Wingdings" w:hAnsi="Wingdings" w:hint="default"/>
      </w:rPr>
    </w:lvl>
    <w:lvl w:ilvl="6" w:tplc="04150001" w:tentative="1">
      <w:start w:val="1"/>
      <w:numFmt w:val="bullet"/>
      <w:lvlText w:val=""/>
      <w:lvlJc w:val="left"/>
      <w:pPr>
        <w:tabs>
          <w:tab w:val="num" w:pos="5494"/>
        </w:tabs>
        <w:ind w:left="5494" w:hanging="360"/>
      </w:pPr>
      <w:rPr>
        <w:rFonts w:ascii="Symbol" w:hAnsi="Symbol" w:hint="default"/>
      </w:rPr>
    </w:lvl>
    <w:lvl w:ilvl="7" w:tplc="04150003" w:tentative="1">
      <w:start w:val="1"/>
      <w:numFmt w:val="bullet"/>
      <w:lvlText w:val="o"/>
      <w:lvlJc w:val="left"/>
      <w:pPr>
        <w:tabs>
          <w:tab w:val="num" w:pos="6214"/>
        </w:tabs>
        <w:ind w:left="6214" w:hanging="360"/>
      </w:pPr>
      <w:rPr>
        <w:rFonts w:ascii="Courier New" w:hAnsi="Courier New" w:cs="Courier New" w:hint="default"/>
      </w:rPr>
    </w:lvl>
    <w:lvl w:ilvl="8" w:tplc="04150005" w:tentative="1">
      <w:start w:val="1"/>
      <w:numFmt w:val="bullet"/>
      <w:lvlText w:val=""/>
      <w:lvlJc w:val="left"/>
      <w:pPr>
        <w:tabs>
          <w:tab w:val="num" w:pos="6934"/>
        </w:tabs>
        <w:ind w:left="6934" w:hanging="360"/>
      </w:pPr>
      <w:rPr>
        <w:rFonts w:ascii="Wingdings" w:hAnsi="Wingdings" w:hint="default"/>
      </w:rPr>
    </w:lvl>
  </w:abstractNum>
  <w:abstractNum w:abstractNumId="9">
    <w:nsid w:val="4D0219F8"/>
    <w:multiLevelType w:val="hybridMultilevel"/>
    <w:tmpl w:val="CB807D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453344C"/>
    <w:multiLevelType w:val="singleLevel"/>
    <w:tmpl w:val="EB583A6C"/>
    <w:lvl w:ilvl="0">
      <w:start w:val="1"/>
      <w:numFmt w:val="bullet"/>
      <w:pStyle w:val="punktowanie"/>
      <w:lvlText w:val="–"/>
      <w:lvlJc w:val="left"/>
      <w:pPr>
        <w:tabs>
          <w:tab w:val="num" w:pos="360"/>
        </w:tabs>
        <w:ind w:left="284" w:hanging="284"/>
      </w:pPr>
      <w:rPr>
        <w:rFonts w:ascii="MS Serif" w:hAnsi="MS Serif" w:hint="default"/>
      </w:rPr>
    </w:lvl>
  </w:abstractNum>
  <w:abstractNum w:abstractNumId="11">
    <w:nsid w:val="58F0415D"/>
    <w:multiLevelType w:val="hybridMultilevel"/>
    <w:tmpl w:val="F5AC51DC"/>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5F657792"/>
    <w:multiLevelType w:val="hybridMultilevel"/>
    <w:tmpl w:val="E068B422"/>
    <w:lvl w:ilvl="0" w:tplc="5BFC70A4">
      <w:start w:val="1"/>
      <w:numFmt w:val="decimal"/>
      <w:lvlText w:val="%1)"/>
      <w:lvlJc w:val="left"/>
      <w:pPr>
        <w:tabs>
          <w:tab w:val="num" w:pos="2348"/>
        </w:tabs>
        <w:ind w:left="2348" w:hanging="360"/>
      </w:pPr>
      <w:rPr>
        <w:rFonts w:hint="default"/>
      </w:rPr>
    </w:lvl>
    <w:lvl w:ilvl="1" w:tplc="859E9A1E">
      <w:start w:val="1"/>
      <w:numFmt w:val="decimal"/>
      <w:lvlText w:val="%2)"/>
      <w:lvlJc w:val="left"/>
      <w:pPr>
        <w:tabs>
          <w:tab w:val="num" w:pos="1894"/>
        </w:tabs>
        <w:ind w:left="1894" w:hanging="360"/>
      </w:pPr>
      <w:rPr>
        <w:rFonts w:hint="default"/>
      </w:rPr>
    </w:lvl>
    <w:lvl w:ilvl="2" w:tplc="0415001B" w:tentative="1">
      <w:start w:val="1"/>
      <w:numFmt w:val="lowerRoman"/>
      <w:lvlText w:val="%3."/>
      <w:lvlJc w:val="right"/>
      <w:pPr>
        <w:tabs>
          <w:tab w:val="num" w:pos="2614"/>
        </w:tabs>
        <w:ind w:left="2614" w:hanging="180"/>
      </w:pPr>
    </w:lvl>
    <w:lvl w:ilvl="3" w:tplc="0415000F" w:tentative="1">
      <w:start w:val="1"/>
      <w:numFmt w:val="decimal"/>
      <w:lvlText w:val="%4."/>
      <w:lvlJc w:val="left"/>
      <w:pPr>
        <w:tabs>
          <w:tab w:val="num" w:pos="3334"/>
        </w:tabs>
        <w:ind w:left="3334" w:hanging="360"/>
      </w:pPr>
    </w:lvl>
    <w:lvl w:ilvl="4" w:tplc="04150019" w:tentative="1">
      <w:start w:val="1"/>
      <w:numFmt w:val="lowerLetter"/>
      <w:lvlText w:val="%5."/>
      <w:lvlJc w:val="left"/>
      <w:pPr>
        <w:tabs>
          <w:tab w:val="num" w:pos="4054"/>
        </w:tabs>
        <w:ind w:left="4054" w:hanging="360"/>
      </w:pPr>
    </w:lvl>
    <w:lvl w:ilvl="5" w:tplc="0415001B" w:tentative="1">
      <w:start w:val="1"/>
      <w:numFmt w:val="lowerRoman"/>
      <w:lvlText w:val="%6."/>
      <w:lvlJc w:val="right"/>
      <w:pPr>
        <w:tabs>
          <w:tab w:val="num" w:pos="4774"/>
        </w:tabs>
        <w:ind w:left="4774" w:hanging="180"/>
      </w:pPr>
    </w:lvl>
    <w:lvl w:ilvl="6" w:tplc="0415000F" w:tentative="1">
      <w:start w:val="1"/>
      <w:numFmt w:val="decimal"/>
      <w:lvlText w:val="%7."/>
      <w:lvlJc w:val="left"/>
      <w:pPr>
        <w:tabs>
          <w:tab w:val="num" w:pos="5494"/>
        </w:tabs>
        <w:ind w:left="5494" w:hanging="360"/>
      </w:pPr>
    </w:lvl>
    <w:lvl w:ilvl="7" w:tplc="04150019" w:tentative="1">
      <w:start w:val="1"/>
      <w:numFmt w:val="lowerLetter"/>
      <w:lvlText w:val="%8."/>
      <w:lvlJc w:val="left"/>
      <w:pPr>
        <w:tabs>
          <w:tab w:val="num" w:pos="6214"/>
        </w:tabs>
        <w:ind w:left="6214" w:hanging="360"/>
      </w:pPr>
    </w:lvl>
    <w:lvl w:ilvl="8" w:tplc="0415001B" w:tentative="1">
      <w:start w:val="1"/>
      <w:numFmt w:val="lowerRoman"/>
      <w:lvlText w:val="%9."/>
      <w:lvlJc w:val="right"/>
      <w:pPr>
        <w:tabs>
          <w:tab w:val="num" w:pos="6934"/>
        </w:tabs>
        <w:ind w:left="6934" w:hanging="180"/>
      </w:pPr>
    </w:lvl>
  </w:abstractNum>
  <w:abstractNum w:abstractNumId="13">
    <w:nsid w:val="65134C91"/>
    <w:multiLevelType w:val="hybridMultilevel"/>
    <w:tmpl w:val="777C3BF8"/>
    <w:lvl w:ilvl="0" w:tplc="ED6288F0">
      <w:start w:val="1"/>
      <w:numFmt w:val="decimal"/>
      <w:pStyle w:val="Wypunktowanieliczbazkropk10p"/>
      <w:lvlText w:val="%1."/>
      <w:lvlJc w:val="left"/>
      <w:pPr>
        <w:tabs>
          <w:tab w:val="num" w:pos="1894"/>
        </w:tabs>
        <w:ind w:left="1894"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56F1A10"/>
    <w:multiLevelType w:val="hybridMultilevel"/>
    <w:tmpl w:val="D5D62F62"/>
    <w:lvl w:ilvl="0" w:tplc="14BE3560">
      <w:start w:val="1"/>
      <w:numFmt w:val="bullet"/>
      <w:lvlText w:val=""/>
      <w:lvlJc w:val="left"/>
      <w:pPr>
        <w:tabs>
          <w:tab w:val="num" w:pos="2538"/>
        </w:tabs>
        <w:ind w:left="2538" w:hanging="284"/>
      </w:pPr>
      <w:rPr>
        <w:rFonts w:ascii="Symbol" w:hAnsi="Symbol" w:hint="default"/>
      </w:rPr>
    </w:lvl>
    <w:lvl w:ilvl="1" w:tplc="DF507DC8">
      <w:start w:val="1"/>
      <w:numFmt w:val="bullet"/>
      <w:lvlText w:val=""/>
      <w:lvlJc w:val="left"/>
      <w:pPr>
        <w:tabs>
          <w:tab w:val="num" w:pos="814"/>
        </w:tabs>
        <w:ind w:left="714" w:hanging="260"/>
      </w:pPr>
      <w:rPr>
        <w:rFonts w:ascii="Symbol" w:hAnsi="Symbol" w:hint="default"/>
      </w:rPr>
    </w:lvl>
    <w:lvl w:ilvl="2" w:tplc="04150005">
      <w:start w:val="1"/>
      <w:numFmt w:val="bullet"/>
      <w:lvlText w:val=""/>
      <w:lvlJc w:val="left"/>
      <w:pPr>
        <w:tabs>
          <w:tab w:val="num" w:pos="2614"/>
        </w:tabs>
        <w:ind w:left="2614" w:hanging="360"/>
      </w:pPr>
      <w:rPr>
        <w:rFonts w:ascii="Wingdings" w:hAnsi="Wingdings" w:hint="default"/>
      </w:rPr>
    </w:lvl>
    <w:lvl w:ilvl="3" w:tplc="04150001">
      <w:start w:val="1"/>
      <w:numFmt w:val="bullet"/>
      <w:lvlText w:val=""/>
      <w:lvlJc w:val="left"/>
      <w:pPr>
        <w:tabs>
          <w:tab w:val="num" w:pos="3334"/>
        </w:tabs>
        <w:ind w:left="3334" w:hanging="360"/>
      </w:pPr>
      <w:rPr>
        <w:rFonts w:ascii="Symbol" w:hAnsi="Symbol" w:hint="default"/>
      </w:rPr>
    </w:lvl>
    <w:lvl w:ilvl="4" w:tplc="04150003">
      <w:start w:val="1"/>
      <w:numFmt w:val="bullet"/>
      <w:lvlText w:val="o"/>
      <w:lvlJc w:val="left"/>
      <w:pPr>
        <w:tabs>
          <w:tab w:val="num" w:pos="4054"/>
        </w:tabs>
        <w:ind w:left="4054" w:hanging="360"/>
      </w:pPr>
      <w:rPr>
        <w:rFonts w:ascii="Courier New" w:hAnsi="Courier New" w:hint="default"/>
      </w:rPr>
    </w:lvl>
    <w:lvl w:ilvl="5" w:tplc="04150005">
      <w:start w:val="1"/>
      <w:numFmt w:val="bullet"/>
      <w:lvlText w:val=""/>
      <w:lvlJc w:val="left"/>
      <w:pPr>
        <w:tabs>
          <w:tab w:val="num" w:pos="4774"/>
        </w:tabs>
        <w:ind w:left="4774" w:hanging="360"/>
      </w:pPr>
      <w:rPr>
        <w:rFonts w:ascii="Wingdings" w:hAnsi="Wingdings" w:hint="default"/>
      </w:rPr>
    </w:lvl>
    <w:lvl w:ilvl="6" w:tplc="04150001">
      <w:start w:val="1"/>
      <w:numFmt w:val="bullet"/>
      <w:lvlText w:val=""/>
      <w:lvlJc w:val="left"/>
      <w:pPr>
        <w:tabs>
          <w:tab w:val="num" w:pos="5494"/>
        </w:tabs>
        <w:ind w:left="5494" w:hanging="360"/>
      </w:pPr>
      <w:rPr>
        <w:rFonts w:ascii="Symbol" w:hAnsi="Symbol" w:hint="default"/>
      </w:rPr>
    </w:lvl>
    <w:lvl w:ilvl="7" w:tplc="04150003">
      <w:start w:val="1"/>
      <w:numFmt w:val="bullet"/>
      <w:lvlText w:val="o"/>
      <w:lvlJc w:val="left"/>
      <w:pPr>
        <w:tabs>
          <w:tab w:val="num" w:pos="6214"/>
        </w:tabs>
        <w:ind w:left="6214" w:hanging="360"/>
      </w:pPr>
      <w:rPr>
        <w:rFonts w:ascii="Courier New" w:hAnsi="Courier New" w:hint="default"/>
      </w:rPr>
    </w:lvl>
    <w:lvl w:ilvl="8" w:tplc="04150005">
      <w:start w:val="1"/>
      <w:numFmt w:val="bullet"/>
      <w:lvlText w:val=""/>
      <w:lvlJc w:val="left"/>
      <w:pPr>
        <w:tabs>
          <w:tab w:val="num" w:pos="6934"/>
        </w:tabs>
        <w:ind w:left="6934" w:hanging="360"/>
      </w:pPr>
      <w:rPr>
        <w:rFonts w:ascii="Wingdings" w:hAnsi="Wingdings" w:hint="default"/>
      </w:rPr>
    </w:lvl>
  </w:abstractNum>
  <w:abstractNum w:abstractNumId="15">
    <w:nsid w:val="6AC302D2"/>
    <w:multiLevelType w:val="hybridMultilevel"/>
    <w:tmpl w:val="DBCE0D66"/>
    <w:lvl w:ilvl="0" w:tplc="5BFC70A4">
      <w:start w:val="1"/>
      <w:numFmt w:val="decimal"/>
      <w:lvlText w:val="%1)"/>
      <w:lvlJc w:val="left"/>
      <w:pPr>
        <w:tabs>
          <w:tab w:val="num" w:pos="1894"/>
        </w:tabs>
        <w:ind w:left="189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D6D3615"/>
    <w:multiLevelType w:val="hybridMultilevel"/>
    <w:tmpl w:val="81B8CD06"/>
    <w:lvl w:ilvl="0" w:tplc="FD14B5D2">
      <w:start w:val="1"/>
      <w:numFmt w:val="bullet"/>
      <w:pStyle w:val="Wypunktowanie"/>
      <w:lvlText w:val="–"/>
      <w:lvlJc w:val="left"/>
      <w:pPr>
        <w:tabs>
          <w:tab w:val="num" w:pos="624"/>
        </w:tabs>
        <w:ind w:left="0" w:firstLine="397"/>
      </w:pPr>
      <w:rPr>
        <w:rFonts w:ascii="MS Serif" w:hAnsi="MS Serif"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E1566CE"/>
    <w:multiLevelType w:val="multilevel"/>
    <w:tmpl w:val="E14CBE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8DE1D9A"/>
    <w:multiLevelType w:val="hybridMultilevel"/>
    <w:tmpl w:val="AC129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5"/>
  </w:num>
  <w:num w:numId="5">
    <w:abstractNumId w:val="0"/>
  </w:num>
  <w:num w:numId="6">
    <w:abstractNumId w:val="3"/>
  </w:num>
  <w:num w:numId="7">
    <w:abstractNumId w:val="17"/>
  </w:num>
  <w:num w:numId="8">
    <w:abstractNumId w:val="9"/>
  </w:num>
  <w:num w:numId="9">
    <w:abstractNumId w:val="1"/>
  </w:num>
  <w:num w:numId="10">
    <w:abstractNumId w:val="4"/>
  </w:num>
  <w:num w:numId="11">
    <w:abstractNumId w:val="14"/>
  </w:num>
  <w:num w:numId="12">
    <w:abstractNumId w:val="13"/>
  </w:num>
  <w:num w:numId="13">
    <w:abstractNumId w:val="5"/>
  </w:num>
  <w:num w:numId="14">
    <w:abstractNumId w:val="5"/>
  </w:num>
  <w:num w:numId="15">
    <w:abstractNumId w:val="5"/>
    <w:lvlOverride w:ilvl="0">
      <w:startOverride w:val="1"/>
    </w:lvlOverride>
  </w:num>
  <w:num w:numId="16">
    <w:abstractNumId w:val="5"/>
  </w:num>
  <w:num w:numId="17">
    <w:abstractNumId w:val="5"/>
    <w:lvlOverride w:ilvl="0">
      <w:startOverride w:val="1"/>
    </w:lvlOverride>
  </w:num>
  <w:num w:numId="18">
    <w:abstractNumId w:val="7"/>
  </w:num>
  <w:num w:numId="19">
    <w:abstractNumId w:val="16"/>
  </w:num>
  <w:num w:numId="20">
    <w:abstractNumId w:val="6"/>
  </w:num>
  <w:num w:numId="21">
    <w:abstractNumId w:val="18"/>
  </w:num>
  <w:num w:numId="22">
    <w:abstractNumId w:val="1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defaultTabStop w:val="709"/>
  <w:autoHyphenation/>
  <w:hyphenationZone w:val="425"/>
  <w:evenAndOddHeaders/>
  <w:noPunctuationKerning/>
  <w:characterSpacingControl w:val="doNotCompress"/>
  <w:hdrShapeDefaults>
    <o:shapedefaults v:ext="edit" spidmax="2086"/>
    <o:shapelayout v:ext="edit">
      <o:idmap v:ext="edit" data="2"/>
      <o:rules v:ext="edit">
        <o:r id="V:Rule3" type="connector" idref="#_x0000_s2049"/>
        <o:r id="V:Rule4" type="callout" idref="#_x0000_s2072"/>
        <o:r id="V:Rule5" type="callout" idref="#_x0000_s2079"/>
        <o:r id="V:Rule6" type="callout" idref="#_x0000_s2067"/>
        <o:r id="V:Rule7" type="connector" idref="#_x0000_s2051"/>
      </o:rules>
    </o:shapelayout>
  </w:hdrShapeDefaults>
  <w:footnotePr>
    <w:footnote w:id="-1"/>
    <w:footnote w:id="0"/>
    <w:footnote w:id="1"/>
  </w:footnotePr>
  <w:endnotePr>
    <w:endnote w:id="-1"/>
    <w:endnote w:id="0"/>
  </w:endnotePr>
  <w:compat/>
  <w:rsids>
    <w:rsidRoot w:val="002346FE"/>
    <w:rsid w:val="00015785"/>
    <w:rsid w:val="00016771"/>
    <w:rsid w:val="00023C9E"/>
    <w:rsid w:val="00027DC4"/>
    <w:rsid w:val="00053FC6"/>
    <w:rsid w:val="00061B9E"/>
    <w:rsid w:val="000761D1"/>
    <w:rsid w:val="0009519A"/>
    <w:rsid w:val="0009643B"/>
    <w:rsid w:val="00096EE3"/>
    <w:rsid w:val="000A6372"/>
    <w:rsid w:val="000A63C4"/>
    <w:rsid w:val="000A6D89"/>
    <w:rsid w:val="000C306E"/>
    <w:rsid w:val="000C7A44"/>
    <w:rsid w:val="000E2191"/>
    <w:rsid w:val="00104436"/>
    <w:rsid w:val="00112066"/>
    <w:rsid w:val="001224D7"/>
    <w:rsid w:val="0012533C"/>
    <w:rsid w:val="00127AA6"/>
    <w:rsid w:val="00131FA9"/>
    <w:rsid w:val="0013413A"/>
    <w:rsid w:val="001432F5"/>
    <w:rsid w:val="00147638"/>
    <w:rsid w:val="00154E52"/>
    <w:rsid w:val="001554F9"/>
    <w:rsid w:val="001674B5"/>
    <w:rsid w:val="001708F9"/>
    <w:rsid w:val="00170931"/>
    <w:rsid w:val="0017146F"/>
    <w:rsid w:val="001763EF"/>
    <w:rsid w:val="00191CBC"/>
    <w:rsid w:val="001A0AE7"/>
    <w:rsid w:val="001A2923"/>
    <w:rsid w:val="001B077B"/>
    <w:rsid w:val="001B3027"/>
    <w:rsid w:val="001B5E6E"/>
    <w:rsid w:val="001D4064"/>
    <w:rsid w:val="001D4839"/>
    <w:rsid w:val="001D7ECB"/>
    <w:rsid w:val="001E29B6"/>
    <w:rsid w:val="001E2AC7"/>
    <w:rsid w:val="001F3D16"/>
    <w:rsid w:val="001F5DA6"/>
    <w:rsid w:val="001F6AA7"/>
    <w:rsid w:val="00200AF3"/>
    <w:rsid w:val="00222A24"/>
    <w:rsid w:val="00231086"/>
    <w:rsid w:val="002346FE"/>
    <w:rsid w:val="00241BB6"/>
    <w:rsid w:val="0024664D"/>
    <w:rsid w:val="0025012B"/>
    <w:rsid w:val="002501D4"/>
    <w:rsid w:val="002520D2"/>
    <w:rsid w:val="00267DC4"/>
    <w:rsid w:val="00272D4E"/>
    <w:rsid w:val="0028214A"/>
    <w:rsid w:val="002842D6"/>
    <w:rsid w:val="00290FE7"/>
    <w:rsid w:val="00291BD9"/>
    <w:rsid w:val="0029262B"/>
    <w:rsid w:val="0029715D"/>
    <w:rsid w:val="002A2E32"/>
    <w:rsid w:val="002A2F8B"/>
    <w:rsid w:val="002A4742"/>
    <w:rsid w:val="002E1A43"/>
    <w:rsid w:val="002E7302"/>
    <w:rsid w:val="002F4EA4"/>
    <w:rsid w:val="00305BF4"/>
    <w:rsid w:val="003144B8"/>
    <w:rsid w:val="003166D3"/>
    <w:rsid w:val="0033015A"/>
    <w:rsid w:val="00342D8E"/>
    <w:rsid w:val="00364B83"/>
    <w:rsid w:val="00380BE2"/>
    <w:rsid w:val="00385168"/>
    <w:rsid w:val="00385A0C"/>
    <w:rsid w:val="003922B7"/>
    <w:rsid w:val="003A68B9"/>
    <w:rsid w:val="003B177A"/>
    <w:rsid w:val="003B2530"/>
    <w:rsid w:val="003B3D6E"/>
    <w:rsid w:val="003B57B7"/>
    <w:rsid w:val="003D22D5"/>
    <w:rsid w:val="003D2604"/>
    <w:rsid w:val="003D637F"/>
    <w:rsid w:val="003F060C"/>
    <w:rsid w:val="00400F0F"/>
    <w:rsid w:val="0040689C"/>
    <w:rsid w:val="004106BE"/>
    <w:rsid w:val="00422058"/>
    <w:rsid w:val="004305FE"/>
    <w:rsid w:val="00433440"/>
    <w:rsid w:val="00433521"/>
    <w:rsid w:val="004402EF"/>
    <w:rsid w:val="00443834"/>
    <w:rsid w:val="004447ED"/>
    <w:rsid w:val="00447336"/>
    <w:rsid w:val="00450834"/>
    <w:rsid w:val="00451CA3"/>
    <w:rsid w:val="00454079"/>
    <w:rsid w:val="00454769"/>
    <w:rsid w:val="00456884"/>
    <w:rsid w:val="004620B6"/>
    <w:rsid w:val="00472211"/>
    <w:rsid w:val="00483D54"/>
    <w:rsid w:val="004C4261"/>
    <w:rsid w:val="004C7D8D"/>
    <w:rsid w:val="004D0F28"/>
    <w:rsid w:val="004D29A4"/>
    <w:rsid w:val="004D2B4D"/>
    <w:rsid w:val="004D735C"/>
    <w:rsid w:val="004E703C"/>
    <w:rsid w:val="004F7CA0"/>
    <w:rsid w:val="00501184"/>
    <w:rsid w:val="00512C99"/>
    <w:rsid w:val="00521C38"/>
    <w:rsid w:val="00530CF7"/>
    <w:rsid w:val="0058129F"/>
    <w:rsid w:val="005947DA"/>
    <w:rsid w:val="0059693C"/>
    <w:rsid w:val="005A06F5"/>
    <w:rsid w:val="005A0E95"/>
    <w:rsid w:val="005A1203"/>
    <w:rsid w:val="005B36AF"/>
    <w:rsid w:val="005B5DE3"/>
    <w:rsid w:val="005B6706"/>
    <w:rsid w:val="005B752F"/>
    <w:rsid w:val="005C0CD8"/>
    <w:rsid w:val="005D4AD3"/>
    <w:rsid w:val="005D5A1E"/>
    <w:rsid w:val="005D69D9"/>
    <w:rsid w:val="005E0705"/>
    <w:rsid w:val="005E0EAB"/>
    <w:rsid w:val="005E13E5"/>
    <w:rsid w:val="005E20A1"/>
    <w:rsid w:val="005E4622"/>
    <w:rsid w:val="005F1389"/>
    <w:rsid w:val="005F4276"/>
    <w:rsid w:val="005F5888"/>
    <w:rsid w:val="005F7D32"/>
    <w:rsid w:val="006040C2"/>
    <w:rsid w:val="00611595"/>
    <w:rsid w:val="00623E40"/>
    <w:rsid w:val="0062784D"/>
    <w:rsid w:val="00632325"/>
    <w:rsid w:val="00637F65"/>
    <w:rsid w:val="00642670"/>
    <w:rsid w:val="006513AE"/>
    <w:rsid w:val="00653932"/>
    <w:rsid w:val="00653E4C"/>
    <w:rsid w:val="00672BA3"/>
    <w:rsid w:val="00685C99"/>
    <w:rsid w:val="006918B7"/>
    <w:rsid w:val="006A491E"/>
    <w:rsid w:val="006B0F39"/>
    <w:rsid w:val="006C137E"/>
    <w:rsid w:val="006C1478"/>
    <w:rsid w:val="006C217E"/>
    <w:rsid w:val="006C2C2C"/>
    <w:rsid w:val="006D1D13"/>
    <w:rsid w:val="006D7713"/>
    <w:rsid w:val="006D78B7"/>
    <w:rsid w:val="006E4A6A"/>
    <w:rsid w:val="006F54FD"/>
    <w:rsid w:val="007005F1"/>
    <w:rsid w:val="00700C32"/>
    <w:rsid w:val="00700EAE"/>
    <w:rsid w:val="00714BBD"/>
    <w:rsid w:val="007257AD"/>
    <w:rsid w:val="00736CE1"/>
    <w:rsid w:val="00754A9C"/>
    <w:rsid w:val="0076109F"/>
    <w:rsid w:val="0076677E"/>
    <w:rsid w:val="00771B8C"/>
    <w:rsid w:val="00771FCD"/>
    <w:rsid w:val="007761DC"/>
    <w:rsid w:val="00785C5C"/>
    <w:rsid w:val="00785F74"/>
    <w:rsid w:val="0079021A"/>
    <w:rsid w:val="007A037D"/>
    <w:rsid w:val="007A68E3"/>
    <w:rsid w:val="007B5582"/>
    <w:rsid w:val="007B637F"/>
    <w:rsid w:val="007D4917"/>
    <w:rsid w:val="007D72B6"/>
    <w:rsid w:val="007E738B"/>
    <w:rsid w:val="007F673D"/>
    <w:rsid w:val="008160E2"/>
    <w:rsid w:val="00822D81"/>
    <w:rsid w:val="00826FE3"/>
    <w:rsid w:val="00830A54"/>
    <w:rsid w:val="00833A20"/>
    <w:rsid w:val="00837912"/>
    <w:rsid w:val="0084132B"/>
    <w:rsid w:val="00851B03"/>
    <w:rsid w:val="00855DCE"/>
    <w:rsid w:val="008609F3"/>
    <w:rsid w:val="00862158"/>
    <w:rsid w:val="00867453"/>
    <w:rsid w:val="008724A4"/>
    <w:rsid w:val="008805ED"/>
    <w:rsid w:val="008822A6"/>
    <w:rsid w:val="00884706"/>
    <w:rsid w:val="008855A8"/>
    <w:rsid w:val="00891057"/>
    <w:rsid w:val="00892863"/>
    <w:rsid w:val="00896A1C"/>
    <w:rsid w:val="0089746F"/>
    <w:rsid w:val="008B0410"/>
    <w:rsid w:val="008B7BC4"/>
    <w:rsid w:val="008C09BD"/>
    <w:rsid w:val="008C6296"/>
    <w:rsid w:val="008C6B69"/>
    <w:rsid w:val="008D4BA1"/>
    <w:rsid w:val="008E0734"/>
    <w:rsid w:val="008E7BCC"/>
    <w:rsid w:val="008F2237"/>
    <w:rsid w:val="009364FF"/>
    <w:rsid w:val="00936BA5"/>
    <w:rsid w:val="00950726"/>
    <w:rsid w:val="00951146"/>
    <w:rsid w:val="009678F1"/>
    <w:rsid w:val="00983672"/>
    <w:rsid w:val="00991C9B"/>
    <w:rsid w:val="009922E1"/>
    <w:rsid w:val="00993B1D"/>
    <w:rsid w:val="0099666D"/>
    <w:rsid w:val="009973B4"/>
    <w:rsid w:val="009B6B01"/>
    <w:rsid w:val="009C3881"/>
    <w:rsid w:val="009D0193"/>
    <w:rsid w:val="009E3381"/>
    <w:rsid w:val="009F09B2"/>
    <w:rsid w:val="00A1476D"/>
    <w:rsid w:val="00A21F6D"/>
    <w:rsid w:val="00A27762"/>
    <w:rsid w:val="00A34E67"/>
    <w:rsid w:val="00A40AB8"/>
    <w:rsid w:val="00A5127A"/>
    <w:rsid w:val="00A55ADB"/>
    <w:rsid w:val="00A60DFD"/>
    <w:rsid w:val="00A71597"/>
    <w:rsid w:val="00A7494F"/>
    <w:rsid w:val="00A7731D"/>
    <w:rsid w:val="00A811A9"/>
    <w:rsid w:val="00A95A7B"/>
    <w:rsid w:val="00AA4CB2"/>
    <w:rsid w:val="00AA534E"/>
    <w:rsid w:val="00AB2032"/>
    <w:rsid w:val="00AB4C5D"/>
    <w:rsid w:val="00AD2191"/>
    <w:rsid w:val="00AF037B"/>
    <w:rsid w:val="00AF58EF"/>
    <w:rsid w:val="00B0322A"/>
    <w:rsid w:val="00B03C1E"/>
    <w:rsid w:val="00B14D6C"/>
    <w:rsid w:val="00B15901"/>
    <w:rsid w:val="00B25272"/>
    <w:rsid w:val="00B311E1"/>
    <w:rsid w:val="00B34B4C"/>
    <w:rsid w:val="00B37217"/>
    <w:rsid w:val="00B42024"/>
    <w:rsid w:val="00B43B75"/>
    <w:rsid w:val="00B47232"/>
    <w:rsid w:val="00B54D6D"/>
    <w:rsid w:val="00B572D2"/>
    <w:rsid w:val="00B608FF"/>
    <w:rsid w:val="00B65230"/>
    <w:rsid w:val="00B66D95"/>
    <w:rsid w:val="00B70C33"/>
    <w:rsid w:val="00B73198"/>
    <w:rsid w:val="00B9269C"/>
    <w:rsid w:val="00BA5EC0"/>
    <w:rsid w:val="00BB7A82"/>
    <w:rsid w:val="00BC3160"/>
    <w:rsid w:val="00BC45FB"/>
    <w:rsid w:val="00BE309D"/>
    <w:rsid w:val="00BE3B7D"/>
    <w:rsid w:val="00C002D9"/>
    <w:rsid w:val="00C23F18"/>
    <w:rsid w:val="00C25E33"/>
    <w:rsid w:val="00C263D3"/>
    <w:rsid w:val="00C325E0"/>
    <w:rsid w:val="00C33382"/>
    <w:rsid w:val="00C340F5"/>
    <w:rsid w:val="00C65441"/>
    <w:rsid w:val="00C66F9D"/>
    <w:rsid w:val="00C72BD1"/>
    <w:rsid w:val="00C72D5C"/>
    <w:rsid w:val="00C759F5"/>
    <w:rsid w:val="00C76652"/>
    <w:rsid w:val="00CB7B0E"/>
    <w:rsid w:val="00CD6431"/>
    <w:rsid w:val="00CE187A"/>
    <w:rsid w:val="00CE25FE"/>
    <w:rsid w:val="00CE6B3F"/>
    <w:rsid w:val="00CF400C"/>
    <w:rsid w:val="00D00FAB"/>
    <w:rsid w:val="00D07BA6"/>
    <w:rsid w:val="00D12FC5"/>
    <w:rsid w:val="00D16EC9"/>
    <w:rsid w:val="00D21C35"/>
    <w:rsid w:val="00D40851"/>
    <w:rsid w:val="00D52901"/>
    <w:rsid w:val="00D54181"/>
    <w:rsid w:val="00D615BB"/>
    <w:rsid w:val="00D67471"/>
    <w:rsid w:val="00D71FE4"/>
    <w:rsid w:val="00D82E47"/>
    <w:rsid w:val="00D9474B"/>
    <w:rsid w:val="00D97882"/>
    <w:rsid w:val="00DA55CC"/>
    <w:rsid w:val="00DA6C77"/>
    <w:rsid w:val="00DA708D"/>
    <w:rsid w:val="00DB4C9C"/>
    <w:rsid w:val="00DB6E27"/>
    <w:rsid w:val="00DC2CDB"/>
    <w:rsid w:val="00DC7BA0"/>
    <w:rsid w:val="00DD0766"/>
    <w:rsid w:val="00DD31E0"/>
    <w:rsid w:val="00DD3314"/>
    <w:rsid w:val="00DD6D51"/>
    <w:rsid w:val="00DE076E"/>
    <w:rsid w:val="00DF2F6E"/>
    <w:rsid w:val="00E04298"/>
    <w:rsid w:val="00E1359C"/>
    <w:rsid w:val="00E13A18"/>
    <w:rsid w:val="00E13C81"/>
    <w:rsid w:val="00E1636A"/>
    <w:rsid w:val="00E30026"/>
    <w:rsid w:val="00E4068B"/>
    <w:rsid w:val="00E41E7F"/>
    <w:rsid w:val="00E509B5"/>
    <w:rsid w:val="00E52E47"/>
    <w:rsid w:val="00E530B6"/>
    <w:rsid w:val="00E55855"/>
    <w:rsid w:val="00E57399"/>
    <w:rsid w:val="00E6413F"/>
    <w:rsid w:val="00E67ABD"/>
    <w:rsid w:val="00E745DC"/>
    <w:rsid w:val="00E76FA1"/>
    <w:rsid w:val="00E869B8"/>
    <w:rsid w:val="00E95E67"/>
    <w:rsid w:val="00EA590F"/>
    <w:rsid w:val="00EB113D"/>
    <w:rsid w:val="00EB3ED1"/>
    <w:rsid w:val="00EB4267"/>
    <w:rsid w:val="00EB564C"/>
    <w:rsid w:val="00EB7F6E"/>
    <w:rsid w:val="00EC1634"/>
    <w:rsid w:val="00EC714C"/>
    <w:rsid w:val="00EE45E0"/>
    <w:rsid w:val="00EF172C"/>
    <w:rsid w:val="00EF3B3F"/>
    <w:rsid w:val="00F144CE"/>
    <w:rsid w:val="00F14898"/>
    <w:rsid w:val="00F16B10"/>
    <w:rsid w:val="00F201EB"/>
    <w:rsid w:val="00F2766F"/>
    <w:rsid w:val="00F52D99"/>
    <w:rsid w:val="00F62264"/>
    <w:rsid w:val="00F85022"/>
    <w:rsid w:val="00F95BCE"/>
    <w:rsid w:val="00F960DC"/>
    <w:rsid w:val="00F9692D"/>
    <w:rsid w:val="00FA2A84"/>
    <w:rsid w:val="00FA6443"/>
    <w:rsid w:val="00FA6E0D"/>
    <w:rsid w:val="00FA7E2B"/>
    <w:rsid w:val="00FC03AB"/>
    <w:rsid w:val="00FD0793"/>
    <w:rsid w:val="00FD48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2" w:uiPriority="99"/>
    <w:lsdException w:name="heading 3"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ny">
    <w:name w:val="Normal"/>
    <w:qFormat/>
    <w:rsid w:val="0017146F"/>
    <w:pPr>
      <w:spacing w:line="320" w:lineRule="exact"/>
    </w:pPr>
  </w:style>
  <w:style w:type="paragraph" w:styleId="Nagwek2">
    <w:name w:val="heading 2"/>
    <w:basedOn w:val="Normalny"/>
    <w:next w:val="Normalny"/>
    <w:link w:val="Nagwek2Znak"/>
    <w:uiPriority w:val="99"/>
    <w:rsid w:val="00F52D99"/>
    <w:pPr>
      <w:keepNext/>
      <w:overflowPunct w:val="0"/>
      <w:autoSpaceDE w:val="0"/>
      <w:autoSpaceDN w:val="0"/>
      <w:adjustRightInd w:val="0"/>
      <w:spacing w:before="240" w:after="60" w:line="240" w:lineRule="auto"/>
      <w:jc w:val="both"/>
      <w:textAlignment w:val="baseline"/>
      <w:outlineLvl w:val="1"/>
    </w:pPr>
    <w:rPr>
      <w:rFonts w:ascii="Arial" w:hAnsi="Arial"/>
      <w:b/>
      <w:bCs/>
      <w:i/>
      <w:iCs/>
      <w:sz w:val="28"/>
      <w:szCs w:val="28"/>
    </w:rPr>
  </w:style>
  <w:style w:type="paragraph" w:styleId="Nagwek4">
    <w:name w:val="heading 4"/>
    <w:basedOn w:val="Normalny"/>
    <w:next w:val="Normalny"/>
    <w:link w:val="Nagwek4Znak"/>
    <w:rsid w:val="002346FE"/>
    <w:pPr>
      <w:keepNext/>
      <w:tabs>
        <w:tab w:val="left" w:pos="3544"/>
      </w:tabs>
      <w:spacing w:line="240" w:lineRule="auto"/>
      <w:outlineLvl w:val="3"/>
    </w:pPr>
    <w:rPr>
      <w:rFonts w:ascii="Arial" w:hAnsi="Arial"/>
      <w:b/>
      <w:caps/>
      <w:sz w:val="22"/>
    </w:rPr>
  </w:style>
  <w:style w:type="paragraph" w:styleId="Nagwek7">
    <w:name w:val="heading 7"/>
    <w:basedOn w:val="Normalny"/>
    <w:next w:val="Normalny"/>
    <w:rsid w:val="002346FE"/>
    <w:pPr>
      <w:keepNext/>
      <w:spacing w:line="300" w:lineRule="atLeast"/>
      <w:jc w:val="both"/>
      <w:outlineLvl w:val="6"/>
    </w:pPr>
    <w:rPr>
      <w:i/>
      <w:cap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rsid w:val="002346FE"/>
    <w:pPr>
      <w:jc w:val="center"/>
    </w:pPr>
    <w:rPr>
      <w:b/>
    </w:rPr>
  </w:style>
  <w:style w:type="paragraph" w:customStyle="1" w:styleId="a">
    <w:link w:val="Znak"/>
    <w:semiHidden/>
    <w:rsid w:val="002346FE"/>
    <w:pPr>
      <w:tabs>
        <w:tab w:val="left" w:pos="624"/>
      </w:tabs>
      <w:spacing w:before="40" w:after="40" w:line="200" w:lineRule="exact"/>
      <w:ind w:firstLine="340"/>
      <w:jc w:val="both"/>
    </w:pPr>
    <w:rPr>
      <w:sz w:val="18"/>
    </w:rPr>
  </w:style>
  <w:style w:type="paragraph" w:styleId="Stopka">
    <w:name w:val="footer"/>
    <w:basedOn w:val="Normalny"/>
    <w:link w:val="StopkaZnak"/>
    <w:uiPriority w:val="99"/>
    <w:rsid w:val="002346FE"/>
    <w:pPr>
      <w:tabs>
        <w:tab w:val="center" w:pos="4536"/>
        <w:tab w:val="right" w:pos="9072"/>
      </w:tabs>
    </w:pPr>
  </w:style>
  <w:style w:type="character" w:styleId="Numerstrony">
    <w:name w:val="page number"/>
    <w:basedOn w:val="Domylnaczcionkaakapitu"/>
    <w:rsid w:val="002346FE"/>
  </w:style>
  <w:style w:type="paragraph" w:customStyle="1" w:styleId="punktowanie">
    <w:name w:val="punktowanie"/>
    <w:basedOn w:val="Normalny"/>
    <w:rsid w:val="002346FE"/>
    <w:pPr>
      <w:numPr>
        <w:numId w:val="1"/>
      </w:numPr>
      <w:spacing w:line="300" w:lineRule="atLeast"/>
      <w:ind w:left="738"/>
      <w:jc w:val="both"/>
    </w:pPr>
    <w:rPr>
      <w:sz w:val="22"/>
    </w:rPr>
  </w:style>
  <w:style w:type="character" w:customStyle="1" w:styleId="Nagwek2Znak">
    <w:name w:val="Nagłówek 2 Znak"/>
    <w:link w:val="Nagwek2"/>
    <w:uiPriority w:val="99"/>
    <w:locked/>
    <w:rsid w:val="00E30026"/>
    <w:rPr>
      <w:rFonts w:ascii="Arial" w:hAnsi="Arial" w:cs="Arial"/>
      <w:b/>
      <w:bCs/>
      <w:i/>
      <w:iCs/>
      <w:sz w:val="28"/>
      <w:szCs w:val="28"/>
    </w:rPr>
  </w:style>
  <w:style w:type="paragraph" w:customStyle="1" w:styleId="rdo">
    <w:name w:val="źródło"/>
    <w:basedOn w:val="Normalny"/>
    <w:rsid w:val="002346FE"/>
    <w:pPr>
      <w:tabs>
        <w:tab w:val="left" w:pos="709"/>
      </w:tabs>
      <w:spacing w:before="100" w:line="300" w:lineRule="atLeast"/>
      <w:jc w:val="both"/>
    </w:pPr>
  </w:style>
  <w:style w:type="character" w:styleId="Odwoanieprzypisudolnego">
    <w:name w:val="footnote reference"/>
    <w:aliases w:val="Odwołanie przypisu,Footnote symbol,Footnote Reference Number,Odsy³acz przypisu dolnego 1,Odsy3acz przypisu dolnego 1"/>
    <w:uiPriority w:val="99"/>
    <w:rsid w:val="002346FE"/>
    <w:rPr>
      <w:vertAlign w:val="superscript"/>
    </w:rPr>
  </w:style>
  <w:style w:type="character" w:styleId="Odwoaniedokomentarza">
    <w:name w:val="annotation reference"/>
    <w:semiHidden/>
    <w:rsid w:val="00B03C1E"/>
    <w:rPr>
      <w:sz w:val="16"/>
      <w:szCs w:val="16"/>
    </w:rPr>
  </w:style>
  <w:style w:type="paragraph" w:styleId="Tekstkomentarza">
    <w:name w:val="annotation text"/>
    <w:basedOn w:val="Normalny"/>
    <w:semiHidden/>
    <w:rsid w:val="00B03C1E"/>
  </w:style>
  <w:style w:type="paragraph" w:styleId="Tematkomentarza">
    <w:name w:val="annotation subject"/>
    <w:basedOn w:val="Tekstkomentarza"/>
    <w:next w:val="Tekstkomentarza"/>
    <w:semiHidden/>
    <w:rsid w:val="00B03C1E"/>
    <w:rPr>
      <w:b/>
      <w:bCs/>
    </w:rPr>
  </w:style>
  <w:style w:type="paragraph" w:styleId="Tekstdymka">
    <w:name w:val="Balloon Text"/>
    <w:basedOn w:val="Normalny"/>
    <w:semiHidden/>
    <w:rsid w:val="00B03C1E"/>
    <w:rPr>
      <w:rFonts w:ascii="Tahoma" w:hAnsi="Tahoma" w:cs="Tahoma"/>
      <w:sz w:val="16"/>
      <w:szCs w:val="16"/>
    </w:rPr>
  </w:style>
  <w:style w:type="paragraph" w:styleId="Tekstprzypisudolnego">
    <w:name w:val="footnote text"/>
    <w:aliases w:val="Tekst przypisu,Podrozdział Znak Znak,Podrozdział Znak,single space,FOOTNOTES,fn,Fußnote,Podrozdzia3,przypis"/>
    <w:basedOn w:val="Normalny"/>
    <w:link w:val="TekstprzypisudolnegoZnak"/>
    <w:uiPriority w:val="99"/>
    <w:rsid w:val="00B03C1E"/>
  </w:style>
  <w:style w:type="paragraph" w:styleId="Nagwek">
    <w:name w:val="header"/>
    <w:basedOn w:val="Normalny"/>
    <w:link w:val="NagwekZnak"/>
    <w:uiPriority w:val="99"/>
    <w:rsid w:val="00B03C1E"/>
    <w:pPr>
      <w:tabs>
        <w:tab w:val="center" w:pos="4536"/>
        <w:tab w:val="right" w:pos="9072"/>
      </w:tabs>
    </w:pPr>
  </w:style>
  <w:style w:type="paragraph" w:customStyle="1" w:styleId="Tekstgwny">
    <w:name w:val="Tekst główny"/>
    <w:basedOn w:val="Normalny"/>
    <w:link w:val="TekstgwnyZnak"/>
    <w:rsid w:val="004D2B4D"/>
    <w:pPr>
      <w:spacing w:line="300" w:lineRule="atLeast"/>
      <w:ind w:firstLine="454"/>
      <w:jc w:val="both"/>
    </w:pPr>
    <w:rPr>
      <w:sz w:val="22"/>
      <w:szCs w:val="22"/>
    </w:rPr>
  </w:style>
  <w:style w:type="paragraph" w:customStyle="1" w:styleId="Wypunktowanie">
    <w:name w:val="Wypunktowanie"/>
    <w:basedOn w:val="Normalny"/>
    <w:link w:val="WypunktowanieZnak"/>
    <w:rsid w:val="004D2B4D"/>
    <w:pPr>
      <w:numPr>
        <w:numId w:val="19"/>
      </w:numPr>
      <w:tabs>
        <w:tab w:val="left" w:pos="714"/>
      </w:tabs>
      <w:spacing w:line="300" w:lineRule="atLeast"/>
      <w:jc w:val="both"/>
    </w:pPr>
    <w:rPr>
      <w:iCs/>
      <w:sz w:val="22"/>
    </w:rPr>
  </w:style>
  <w:style w:type="paragraph" w:customStyle="1" w:styleId="Przypisnadole">
    <w:name w:val="Przypis na dole"/>
    <w:basedOn w:val="Normalny"/>
    <w:rsid w:val="004D2B4D"/>
    <w:pPr>
      <w:spacing w:line="240" w:lineRule="auto"/>
      <w:ind w:left="182" w:hanging="182"/>
      <w:jc w:val="both"/>
    </w:pPr>
    <w:rPr>
      <w:sz w:val="18"/>
      <w:szCs w:val="18"/>
    </w:rPr>
  </w:style>
  <w:style w:type="paragraph" w:customStyle="1" w:styleId="Podrozdzia">
    <w:name w:val="Podrozdział"/>
    <w:basedOn w:val="Normalny"/>
    <w:rsid w:val="004D2B4D"/>
    <w:pPr>
      <w:spacing w:after="80" w:line="300" w:lineRule="atLeast"/>
      <w:jc w:val="both"/>
    </w:pPr>
    <w:rPr>
      <w:b/>
      <w:sz w:val="22"/>
      <w:szCs w:val="22"/>
    </w:rPr>
  </w:style>
  <w:style w:type="paragraph" w:customStyle="1" w:styleId="rdopodtabel">
    <w:name w:val="Źródło pod tabelą"/>
    <w:basedOn w:val="Normalny"/>
    <w:link w:val="rdopodtabelZnak"/>
    <w:rsid w:val="004D2B4D"/>
    <w:pPr>
      <w:spacing w:before="100" w:line="240" w:lineRule="auto"/>
      <w:ind w:firstLine="454"/>
      <w:jc w:val="both"/>
    </w:pPr>
    <w:rPr>
      <w:sz w:val="18"/>
    </w:rPr>
  </w:style>
  <w:style w:type="paragraph" w:customStyle="1" w:styleId="Rysunekischemat9p">
    <w:name w:val="Rysunek i schemat 9p"/>
    <w:basedOn w:val="Normalny"/>
    <w:link w:val="Rysunekischemat9pZnak"/>
    <w:autoRedefine/>
    <w:rsid w:val="00785C5C"/>
    <w:pPr>
      <w:spacing w:after="120" w:line="240" w:lineRule="auto"/>
      <w:jc w:val="center"/>
    </w:pPr>
    <w:rPr>
      <w:sz w:val="18"/>
    </w:rPr>
  </w:style>
  <w:style w:type="paragraph" w:customStyle="1" w:styleId="Tekstglownyponumerowaniu">
    <w:name w:val="Tekst glowny po numerowaniu"/>
    <w:basedOn w:val="Tekstgwny"/>
    <w:rsid w:val="004D2B4D"/>
    <w:pPr>
      <w:ind w:firstLine="0"/>
    </w:pPr>
  </w:style>
  <w:style w:type="paragraph" w:customStyle="1" w:styleId="Literatura">
    <w:name w:val="Literatura"/>
    <w:basedOn w:val="Normalny"/>
    <w:rsid w:val="004D2B4D"/>
    <w:pPr>
      <w:tabs>
        <w:tab w:val="num" w:pos="360"/>
      </w:tabs>
      <w:spacing w:line="240" w:lineRule="exact"/>
      <w:ind w:left="720" w:hanging="720"/>
      <w:jc w:val="both"/>
    </w:pPr>
  </w:style>
  <w:style w:type="paragraph" w:customStyle="1" w:styleId="Streszczenie">
    <w:name w:val="Streszczenie"/>
    <w:basedOn w:val="Nagwek2"/>
    <w:rsid w:val="004D2B4D"/>
    <w:pPr>
      <w:keepNext w:val="0"/>
      <w:spacing w:before="120" w:after="120"/>
      <w:jc w:val="center"/>
    </w:pPr>
    <w:rPr>
      <w:rFonts w:ascii="Times New Roman" w:hAnsi="Times New Roman"/>
      <w:i w:val="0"/>
      <w:caps/>
      <w:sz w:val="20"/>
      <w:szCs w:val="20"/>
      <w:lang w:val="de-DE"/>
    </w:rPr>
  </w:style>
  <w:style w:type="paragraph" w:customStyle="1" w:styleId="Streszczenie-tekst">
    <w:name w:val="Streszczenie - tekst"/>
    <w:basedOn w:val="Normalny"/>
    <w:rsid w:val="004D2B4D"/>
    <w:pPr>
      <w:ind w:firstLine="454"/>
      <w:jc w:val="both"/>
    </w:pPr>
    <w:rPr>
      <w:rFonts w:eastAsia="MS Mincho"/>
      <w:lang w:eastAsia="ja-JP"/>
    </w:rPr>
  </w:style>
  <w:style w:type="paragraph" w:customStyle="1" w:styleId="Autoridaneautora">
    <w:name w:val="Autor i dane autora"/>
    <w:basedOn w:val="Normalny"/>
    <w:rsid w:val="004D2B4D"/>
    <w:pPr>
      <w:spacing w:line="240" w:lineRule="auto"/>
      <w:ind w:firstLine="454"/>
      <w:jc w:val="right"/>
    </w:pPr>
    <w:rPr>
      <w:rFonts w:eastAsia="MS Mincho"/>
      <w:i/>
      <w:iCs/>
      <w:lang w:eastAsia="ja-JP"/>
    </w:rPr>
  </w:style>
  <w:style w:type="paragraph" w:customStyle="1" w:styleId="Numerowanieznawiasem">
    <w:name w:val="Numerowanie z nawiasem"/>
    <w:basedOn w:val="Normalny"/>
    <w:link w:val="NumerowanieznawiasemZnak"/>
    <w:rsid w:val="004D2B4D"/>
    <w:pPr>
      <w:tabs>
        <w:tab w:val="left" w:pos="812"/>
      </w:tabs>
      <w:spacing w:line="300" w:lineRule="atLeast"/>
      <w:ind w:left="811" w:hanging="357"/>
      <w:jc w:val="both"/>
    </w:pPr>
    <w:rPr>
      <w:iCs/>
      <w:sz w:val="22"/>
      <w:szCs w:val="22"/>
    </w:rPr>
  </w:style>
  <w:style w:type="paragraph" w:customStyle="1" w:styleId="Tekstwtabeliwypunktowany8p">
    <w:name w:val="Tekst w tabeli wypunktowany 8p"/>
    <w:basedOn w:val="Tekstwtabeli8p"/>
    <w:rsid w:val="006B0F39"/>
    <w:pPr>
      <w:numPr>
        <w:numId w:val="23"/>
      </w:numPr>
      <w:tabs>
        <w:tab w:val="num" w:pos="252"/>
      </w:tabs>
      <w:ind w:left="252" w:hanging="252"/>
    </w:pPr>
  </w:style>
  <w:style w:type="paragraph" w:customStyle="1" w:styleId="Nagwektabeli">
    <w:name w:val="Nagłówek tabeli"/>
    <w:basedOn w:val="Normalny"/>
    <w:rsid w:val="004D2B4D"/>
    <w:pPr>
      <w:overflowPunct w:val="0"/>
      <w:autoSpaceDE w:val="0"/>
      <w:autoSpaceDN w:val="0"/>
      <w:adjustRightInd w:val="0"/>
      <w:spacing w:line="240" w:lineRule="auto"/>
      <w:jc w:val="center"/>
      <w:textAlignment w:val="baseline"/>
    </w:pPr>
    <w:rPr>
      <w:b/>
      <w:bCs/>
    </w:rPr>
  </w:style>
  <w:style w:type="paragraph" w:customStyle="1" w:styleId="Tekstwtabeli8p">
    <w:name w:val="Tekst w tabeli 8p"/>
    <w:basedOn w:val="Normalny"/>
    <w:rsid w:val="00771B8C"/>
    <w:pPr>
      <w:overflowPunct w:val="0"/>
      <w:autoSpaceDE w:val="0"/>
      <w:autoSpaceDN w:val="0"/>
      <w:adjustRightInd w:val="0"/>
      <w:spacing w:line="240" w:lineRule="auto"/>
      <w:textAlignment w:val="baseline"/>
    </w:pPr>
    <w:rPr>
      <w:sz w:val="16"/>
    </w:rPr>
  </w:style>
  <w:style w:type="paragraph" w:customStyle="1" w:styleId="Nagowek">
    <w:name w:val="Nagłowek"/>
    <w:basedOn w:val="Normalny"/>
    <w:link w:val="NagowekZnak"/>
    <w:rsid w:val="004D2B4D"/>
    <w:pPr>
      <w:pBdr>
        <w:bottom w:val="single" w:sz="6" w:space="5" w:color="auto"/>
      </w:pBdr>
      <w:tabs>
        <w:tab w:val="center" w:pos="3542"/>
      </w:tabs>
      <w:spacing w:before="60" w:after="20" w:line="240" w:lineRule="auto"/>
      <w:ind w:right="6"/>
      <w:jc w:val="center"/>
    </w:pPr>
  </w:style>
  <w:style w:type="table" w:styleId="Tabela-Klasyczny1">
    <w:name w:val="Table Classic 1"/>
    <w:basedOn w:val="Standardowy"/>
    <w:rsid w:val="004F7CA0"/>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C72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tuZnak">
    <w:name w:val="Tytuł Znak"/>
    <w:link w:val="Tytu"/>
    <w:rsid w:val="003144B8"/>
    <w:rPr>
      <w:b/>
    </w:rPr>
  </w:style>
  <w:style w:type="character" w:styleId="Hipercze">
    <w:name w:val="Hyperlink"/>
    <w:rsid w:val="002520D2"/>
    <w:rPr>
      <w:color w:val="0000FF"/>
      <w:u w:val="single"/>
    </w:rPr>
  </w:style>
  <w:style w:type="character" w:customStyle="1" w:styleId="NagwekZnak">
    <w:name w:val="Nagłówek Znak"/>
    <w:link w:val="Nagwek"/>
    <w:uiPriority w:val="99"/>
    <w:rsid w:val="00CE25FE"/>
  </w:style>
  <w:style w:type="character" w:customStyle="1" w:styleId="A0">
    <w:name w:val="A0"/>
    <w:uiPriority w:val="99"/>
    <w:rsid w:val="006C137E"/>
    <w:rPr>
      <w:rFonts w:cs="Palatino Linotype"/>
      <w:color w:val="000000"/>
      <w:sz w:val="20"/>
      <w:szCs w:val="20"/>
    </w:rPr>
  </w:style>
  <w:style w:type="paragraph" w:customStyle="1" w:styleId="FutureTytuart">
    <w:name w:val="Future_Tytuł art"/>
    <w:basedOn w:val="Normalny"/>
    <w:link w:val="FutureTytuartZnak"/>
    <w:qFormat/>
    <w:rsid w:val="00267DC4"/>
    <w:pPr>
      <w:spacing w:before="720" w:after="360" w:line="240" w:lineRule="auto"/>
      <w:jc w:val="center"/>
    </w:pPr>
    <w:rPr>
      <w:b/>
      <w:bCs/>
      <w:caps/>
      <w:sz w:val="28"/>
      <w:szCs w:val="32"/>
    </w:rPr>
  </w:style>
  <w:style w:type="paragraph" w:customStyle="1" w:styleId="FutureAutor">
    <w:name w:val="Future_Autor"/>
    <w:basedOn w:val="Normalny"/>
    <w:link w:val="FutureAutorZnak"/>
    <w:qFormat/>
    <w:rsid w:val="008724A4"/>
    <w:pPr>
      <w:keepNext/>
      <w:spacing w:before="120" w:after="960" w:line="240" w:lineRule="auto"/>
      <w:jc w:val="center"/>
    </w:pPr>
    <w:rPr>
      <w:b/>
      <w:iCs/>
      <w:sz w:val="22"/>
    </w:rPr>
  </w:style>
  <w:style w:type="character" w:customStyle="1" w:styleId="FutureTytuartZnak">
    <w:name w:val="Future_Tytuł art Znak"/>
    <w:link w:val="FutureTytuart"/>
    <w:rsid w:val="00267DC4"/>
    <w:rPr>
      <w:b/>
      <w:bCs/>
      <w:caps/>
      <w:sz w:val="28"/>
      <w:szCs w:val="32"/>
    </w:rPr>
  </w:style>
  <w:style w:type="paragraph" w:customStyle="1" w:styleId="FutureStreszczeniepol">
    <w:name w:val="Future_Streszczenie_pol"/>
    <w:basedOn w:val="Normalny"/>
    <w:link w:val="FutureStreszczeniepolZnak"/>
    <w:qFormat/>
    <w:rsid w:val="00830A54"/>
    <w:pPr>
      <w:spacing w:after="240" w:line="240" w:lineRule="auto"/>
      <w:ind w:firstLine="397"/>
      <w:jc w:val="both"/>
    </w:pPr>
    <w:rPr>
      <w:sz w:val="18"/>
      <w:szCs w:val="16"/>
    </w:rPr>
  </w:style>
  <w:style w:type="character" w:customStyle="1" w:styleId="FutureAutorZnak">
    <w:name w:val="Future_Autor Znak"/>
    <w:link w:val="FutureAutor"/>
    <w:rsid w:val="008724A4"/>
    <w:rPr>
      <w:b/>
      <w:iCs/>
      <w:sz w:val="22"/>
    </w:rPr>
  </w:style>
  <w:style w:type="paragraph" w:customStyle="1" w:styleId="FutureTyturozdziau">
    <w:name w:val="Future_Tytuł rozdziału"/>
    <w:basedOn w:val="Normalny"/>
    <w:link w:val="FutureTyturozdziauZnak"/>
    <w:qFormat/>
    <w:rsid w:val="00771FCD"/>
    <w:pPr>
      <w:suppressAutoHyphens/>
      <w:spacing w:before="360" w:after="360" w:line="240" w:lineRule="auto"/>
      <w:ind w:left="227" w:hanging="227"/>
      <w:jc w:val="center"/>
    </w:pPr>
    <w:rPr>
      <w:b/>
      <w:bCs/>
      <w:caps/>
      <w:sz w:val="18"/>
      <w:szCs w:val="22"/>
    </w:rPr>
  </w:style>
  <w:style w:type="character" w:customStyle="1" w:styleId="FutureStreszczeniepolZnak">
    <w:name w:val="Future_Streszczenie_pol Znak"/>
    <w:link w:val="FutureStreszczeniepol"/>
    <w:rsid w:val="00830A54"/>
    <w:rPr>
      <w:sz w:val="18"/>
      <w:szCs w:val="16"/>
    </w:rPr>
  </w:style>
  <w:style w:type="paragraph" w:customStyle="1" w:styleId="Tekstpodstawowy10pzakapitem">
    <w:name w:val="Tekst podstawowy 10p z akapitem"/>
    <w:basedOn w:val="Normalny"/>
    <w:link w:val="Tekstpodstawowy10pzakapitemZnak"/>
    <w:rsid w:val="00422058"/>
    <w:pPr>
      <w:spacing w:line="240" w:lineRule="auto"/>
      <w:ind w:firstLine="284"/>
      <w:jc w:val="both"/>
    </w:pPr>
  </w:style>
  <w:style w:type="character" w:customStyle="1" w:styleId="FutureTyturozdziauZnak">
    <w:name w:val="Future_Tytuł rozdziału Znak"/>
    <w:link w:val="FutureTyturozdziau"/>
    <w:rsid w:val="00771FCD"/>
    <w:rPr>
      <w:b/>
      <w:bCs/>
      <w:caps/>
      <w:sz w:val="18"/>
      <w:szCs w:val="22"/>
    </w:rPr>
  </w:style>
  <w:style w:type="paragraph" w:customStyle="1" w:styleId="Futurewypunktowanie">
    <w:name w:val="Future_wypunktowanie"/>
    <w:basedOn w:val="Wypunktowanie"/>
    <w:link w:val="FuturewypunktowanieZnak"/>
    <w:rsid w:val="00422058"/>
    <w:pPr>
      <w:tabs>
        <w:tab w:val="clear" w:pos="714"/>
        <w:tab w:val="left" w:pos="567"/>
      </w:tabs>
      <w:spacing w:line="240" w:lineRule="auto"/>
      <w:ind w:left="568" w:hanging="284"/>
    </w:pPr>
    <w:rPr>
      <w:sz w:val="20"/>
    </w:rPr>
  </w:style>
  <w:style w:type="character" w:customStyle="1" w:styleId="Tekstpodstawowy10pzakapitemZnak">
    <w:name w:val="Tekst podstawowy 10p z akapitem Znak"/>
    <w:basedOn w:val="Domylnaczcionkaakapitu"/>
    <w:link w:val="Tekstpodstawowy10pzakapitem"/>
    <w:rsid w:val="00422058"/>
  </w:style>
  <w:style w:type="paragraph" w:customStyle="1" w:styleId="rdo8p">
    <w:name w:val="Źródło 8p"/>
    <w:basedOn w:val="rdopodtabel"/>
    <w:link w:val="rdo8pZnak"/>
    <w:rsid w:val="00147638"/>
    <w:pPr>
      <w:ind w:left="284" w:firstLine="0"/>
    </w:pPr>
    <w:rPr>
      <w:sz w:val="16"/>
      <w:szCs w:val="16"/>
    </w:rPr>
  </w:style>
  <w:style w:type="character" w:customStyle="1" w:styleId="WypunktowanieZnak">
    <w:name w:val="Wypunktowanie Znak"/>
    <w:link w:val="Wypunktowanie"/>
    <w:rsid w:val="00422058"/>
    <w:rPr>
      <w:iCs/>
      <w:sz w:val="22"/>
    </w:rPr>
  </w:style>
  <w:style w:type="character" w:customStyle="1" w:styleId="FuturewypunktowanieZnak">
    <w:name w:val="Future_wypunktowanie Znak"/>
    <w:basedOn w:val="WypunktowanieZnak"/>
    <w:link w:val="Futurewypunktowanie"/>
    <w:rsid w:val="00422058"/>
  </w:style>
  <w:style w:type="paragraph" w:customStyle="1" w:styleId="Wypunktowanieliczbaznawiasem10p">
    <w:name w:val="Wypunktowanie liczba z nawiasem 10p"/>
    <w:link w:val="Wypunktowanieliczbaznawiasem10pZnak"/>
    <w:rsid w:val="00222A24"/>
    <w:pPr>
      <w:numPr>
        <w:numId w:val="18"/>
      </w:numPr>
      <w:tabs>
        <w:tab w:val="left" w:pos="567"/>
      </w:tabs>
      <w:ind w:left="568" w:hanging="284"/>
      <w:jc w:val="both"/>
    </w:pPr>
    <w:rPr>
      <w:iCs/>
    </w:rPr>
  </w:style>
  <w:style w:type="character" w:customStyle="1" w:styleId="rdopodtabelZnak">
    <w:name w:val="Źródło pod tabelą Znak"/>
    <w:link w:val="rdopodtabel"/>
    <w:rsid w:val="00422058"/>
    <w:rPr>
      <w:sz w:val="18"/>
    </w:rPr>
  </w:style>
  <w:style w:type="character" w:customStyle="1" w:styleId="rdo8pZnak">
    <w:name w:val="Źródło 8p Znak"/>
    <w:link w:val="rdo8p"/>
    <w:rsid w:val="00147638"/>
    <w:rPr>
      <w:sz w:val="16"/>
      <w:szCs w:val="16"/>
    </w:rPr>
  </w:style>
  <w:style w:type="paragraph" w:customStyle="1" w:styleId="Wypunktowanieliczbazkropk10p">
    <w:name w:val="Wypunktowanie liczba z kropką 10p"/>
    <w:basedOn w:val="Normalny"/>
    <w:link w:val="Wypunktowanieliczbazkropk10pZnak"/>
    <w:rsid w:val="00422058"/>
    <w:pPr>
      <w:numPr>
        <w:numId w:val="12"/>
      </w:numPr>
      <w:tabs>
        <w:tab w:val="clear" w:pos="1894"/>
        <w:tab w:val="num" w:pos="567"/>
      </w:tabs>
      <w:spacing w:line="240" w:lineRule="auto"/>
      <w:ind w:left="568" w:hanging="284"/>
      <w:jc w:val="both"/>
    </w:pPr>
  </w:style>
  <w:style w:type="character" w:customStyle="1" w:styleId="NumerowanieznawiasemZnak">
    <w:name w:val="Numerowanie z nawiasem Znak"/>
    <w:link w:val="Numerowanieznawiasem"/>
    <w:rsid w:val="00422058"/>
    <w:rPr>
      <w:iCs/>
      <w:sz w:val="22"/>
      <w:szCs w:val="22"/>
    </w:rPr>
  </w:style>
  <w:style w:type="character" w:customStyle="1" w:styleId="Wypunktowanieliczbaznawiasem10pZnak">
    <w:name w:val="Wypunktowanie liczba z nawiasem 10p Znak"/>
    <w:basedOn w:val="NumerowanieznawiasemZnak"/>
    <w:link w:val="Wypunktowanieliczbaznawiasem10p"/>
    <w:rsid w:val="00222A24"/>
    <w:rPr>
      <w:iCs/>
      <w:lang w:val="pl-PL" w:eastAsia="pl-PL" w:bidi="ar-SA"/>
    </w:rPr>
  </w:style>
  <w:style w:type="paragraph" w:customStyle="1" w:styleId="Tabela8p">
    <w:name w:val="Tabela 8p"/>
    <w:basedOn w:val="Tekstwtabeli8p"/>
    <w:rsid w:val="00422058"/>
    <w:rPr>
      <w:szCs w:val="16"/>
    </w:rPr>
  </w:style>
  <w:style w:type="character" w:customStyle="1" w:styleId="Wypunktowanieliczbazkropk10pZnak">
    <w:name w:val="Wypunktowanie liczba z kropką 10p Znak"/>
    <w:basedOn w:val="Domylnaczcionkaakapitu"/>
    <w:link w:val="Wypunktowanieliczbazkropk10p"/>
    <w:rsid w:val="00422058"/>
  </w:style>
  <w:style w:type="paragraph" w:customStyle="1" w:styleId="Literatura8p">
    <w:name w:val="Literatura 8p"/>
    <w:basedOn w:val="Normalny"/>
    <w:link w:val="Literatura8pZnak"/>
    <w:rsid w:val="00422058"/>
    <w:pPr>
      <w:spacing w:line="240" w:lineRule="auto"/>
      <w:ind w:left="284" w:hanging="284"/>
      <w:jc w:val="both"/>
    </w:pPr>
    <w:rPr>
      <w:sz w:val="16"/>
      <w:szCs w:val="16"/>
    </w:rPr>
  </w:style>
  <w:style w:type="paragraph" w:customStyle="1" w:styleId="StrzeszczenieTytuAng8p">
    <w:name w:val="Strzeszczenie Tytuł Ang 8p"/>
    <w:basedOn w:val="Normalny"/>
    <w:link w:val="StrzeszczenieTytuAng8pZnak"/>
    <w:rsid w:val="00D40851"/>
    <w:pPr>
      <w:spacing w:after="80" w:line="240" w:lineRule="auto"/>
      <w:ind w:left="567"/>
    </w:pPr>
    <w:rPr>
      <w:b/>
      <w:caps/>
      <w:sz w:val="16"/>
      <w:szCs w:val="16"/>
      <w:lang w:val="en-US"/>
    </w:rPr>
  </w:style>
  <w:style w:type="character" w:customStyle="1" w:styleId="Literatura8pZnak">
    <w:name w:val="Literatura 8p Znak"/>
    <w:link w:val="Literatura8p"/>
    <w:rsid w:val="00422058"/>
    <w:rPr>
      <w:sz w:val="16"/>
      <w:szCs w:val="16"/>
    </w:rPr>
  </w:style>
  <w:style w:type="paragraph" w:customStyle="1" w:styleId="Nagwek-Tytuartykuu8pitalic">
    <w:name w:val="Nagłówek - Tytuł artykułu 8p italic"/>
    <w:basedOn w:val="Nagowek"/>
    <w:link w:val="Nagwek-Tytuartykuu8pitalicZnak"/>
    <w:rsid w:val="004D0F28"/>
    <w:pPr>
      <w:tabs>
        <w:tab w:val="clear" w:pos="3542"/>
        <w:tab w:val="right" w:pos="6804"/>
      </w:tabs>
      <w:spacing w:before="120" w:after="0"/>
      <w:ind w:left="23" w:right="567"/>
      <w:jc w:val="right"/>
    </w:pPr>
    <w:rPr>
      <w:i/>
      <w:iCs/>
      <w:sz w:val="16"/>
      <w:szCs w:val="16"/>
    </w:rPr>
  </w:style>
  <w:style w:type="character" w:customStyle="1" w:styleId="StrzeszczenieTytuAng8pZnak">
    <w:name w:val="Strzeszczenie Tytuł Ang 8p Znak"/>
    <w:link w:val="StrzeszczenieTytuAng8p"/>
    <w:rsid w:val="00D40851"/>
    <w:rPr>
      <w:b/>
      <w:caps/>
      <w:sz w:val="16"/>
      <w:szCs w:val="16"/>
      <w:lang w:val="en-US"/>
    </w:rPr>
  </w:style>
  <w:style w:type="paragraph" w:customStyle="1" w:styleId="Nagwek-Autor8pitalic">
    <w:name w:val="Nagłówek - Autor 8p italic"/>
    <w:basedOn w:val="a"/>
    <w:link w:val="Nagwek-Autor8pitalicZnak"/>
    <w:rsid w:val="00422058"/>
    <w:pPr>
      <w:pBdr>
        <w:bottom w:val="single" w:sz="6" w:space="5" w:color="auto"/>
      </w:pBdr>
      <w:tabs>
        <w:tab w:val="clear" w:pos="624"/>
      </w:tabs>
      <w:spacing w:before="120" w:after="0" w:line="240" w:lineRule="auto"/>
      <w:ind w:left="567" w:firstLine="0"/>
    </w:pPr>
    <w:rPr>
      <w:i/>
      <w:iCs/>
      <w:smallCaps/>
      <w:sz w:val="16"/>
      <w:szCs w:val="16"/>
    </w:rPr>
  </w:style>
  <w:style w:type="character" w:customStyle="1" w:styleId="NagowekZnak">
    <w:name w:val="Nagłowek Znak"/>
    <w:basedOn w:val="Domylnaczcionkaakapitu"/>
    <w:link w:val="Nagowek"/>
    <w:rsid w:val="00422058"/>
  </w:style>
  <w:style w:type="character" w:customStyle="1" w:styleId="Nagwek-Tytuartykuu8pitalicZnak">
    <w:name w:val="Nagłówek - Tytuł artykułu 8p italic Znak"/>
    <w:link w:val="Nagwek-Tytuartykuu8pitalic"/>
    <w:rsid w:val="004D0F28"/>
    <w:rPr>
      <w:i/>
      <w:iCs/>
      <w:sz w:val="16"/>
      <w:szCs w:val="16"/>
    </w:rPr>
  </w:style>
  <w:style w:type="paragraph" w:customStyle="1" w:styleId="Przypisdolny8p">
    <w:name w:val="Przypis dolny 8p"/>
    <w:basedOn w:val="Przypisnadole"/>
    <w:rsid w:val="002E1A43"/>
    <w:pPr>
      <w:ind w:left="0" w:firstLine="284"/>
    </w:pPr>
    <w:rPr>
      <w:sz w:val="16"/>
      <w:szCs w:val="16"/>
    </w:rPr>
  </w:style>
  <w:style w:type="paragraph" w:customStyle="1" w:styleId="DomylnaczcionkaakapituAkapit">
    <w:name w:val="Domyślna czcionka akapitu Akapit"/>
    <w:basedOn w:val="Normalny"/>
    <w:rsid w:val="00422058"/>
  </w:style>
  <w:style w:type="character" w:customStyle="1" w:styleId="Znak">
    <w:name w:val="Znak"/>
    <w:link w:val="a"/>
    <w:semiHidden/>
    <w:rsid w:val="00422058"/>
    <w:rPr>
      <w:sz w:val="18"/>
    </w:rPr>
  </w:style>
  <w:style w:type="character" w:customStyle="1" w:styleId="Nagwek-Autor8pitalicZnak">
    <w:name w:val="Nagłówek - Autor 8p italic Znak"/>
    <w:link w:val="Nagwek-Autor8pitalic"/>
    <w:rsid w:val="00422058"/>
    <w:rPr>
      <w:i/>
      <w:iCs/>
      <w:smallCaps/>
      <w:sz w:val="16"/>
      <w:szCs w:val="16"/>
    </w:rPr>
  </w:style>
  <w:style w:type="paragraph" w:customStyle="1" w:styleId="Tytutabeli9p">
    <w:name w:val="Tytuł tabeli 9p"/>
    <w:basedOn w:val="Tekstgwny"/>
    <w:link w:val="Tytutabeli9pZnak"/>
    <w:rsid w:val="00C340F5"/>
    <w:pPr>
      <w:spacing w:after="120" w:line="240" w:lineRule="auto"/>
      <w:ind w:left="284" w:firstLine="0"/>
    </w:pPr>
    <w:rPr>
      <w:sz w:val="18"/>
      <w:szCs w:val="18"/>
    </w:rPr>
  </w:style>
  <w:style w:type="paragraph" w:customStyle="1" w:styleId="FutureTekstpodstawowy">
    <w:name w:val="Future_Tekst podstawowy"/>
    <w:basedOn w:val="Normalny"/>
    <w:qFormat/>
    <w:rsid w:val="00771FCD"/>
    <w:pPr>
      <w:spacing w:line="240" w:lineRule="auto"/>
      <w:ind w:firstLine="397"/>
      <w:jc w:val="both"/>
    </w:pPr>
    <w:rPr>
      <w:sz w:val="22"/>
    </w:rPr>
  </w:style>
  <w:style w:type="character" w:customStyle="1" w:styleId="TekstgwnyZnak">
    <w:name w:val="Tekst główny Znak"/>
    <w:link w:val="Tekstgwny"/>
    <w:rsid w:val="002E1A43"/>
    <w:rPr>
      <w:sz w:val="22"/>
      <w:szCs w:val="22"/>
    </w:rPr>
  </w:style>
  <w:style w:type="character" w:customStyle="1" w:styleId="Tytutabeli9pZnak">
    <w:name w:val="Tytuł tabeli 9p Znak"/>
    <w:link w:val="Tytutabeli9p"/>
    <w:rsid w:val="00C340F5"/>
    <w:rPr>
      <w:sz w:val="18"/>
      <w:szCs w:val="18"/>
    </w:rPr>
  </w:style>
  <w:style w:type="paragraph" w:customStyle="1" w:styleId="Autor-Afiliacja8pitalic">
    <w:name w:val="Autor - Afiliacja 8p italic"/>
    <w:basedOn w:val="Normalny"/>
    <w:rsid w:val="00D67471"/>
    <w:pPr>
      <w:spacing w:line="300" w:lineRule="atLeast"/>
      <w:jc w:val="center"/>
    </w:pPr>
    <w:rPr>
      <w:i/>
      <w:sz w:val="16"/>
      <w:szCs w:val="16"/>
    </w:rPr>
  </w:style>
  <w:style w:type="paragraph" w:customStyle="1" w:styleId="FutureAfiliacja">
    <w:name w:val="Future_Afiliacja"/>
    <w:basedOn w:val="Tekstprzypisudolnego"/>
    <w:qFormat/>
    <w:rsid w:val="008724A4"/>
    <w:pPr>
      <w:spacing w:line="240" w:lineRule="auto"/>
      <w:ind w:firstLine="397"/>
      <w:jc w:val="both"/>
    </w:pPr>
    <w:rPr>
      <w:sz w:val="18"/>
      <w:szCs w:val="16"/>
    </w:rPr>
  </w:style>
  <w:style w:type="character" w:customStyle="1" w:styleId="StopkaZnak">
    <w:name w:val="Stopka Znak"/>
    <w:basedOn w:val="Domylnaczcionkaakapitu"/>
    <w:link w:val="Stopka"/>
    <w:uiPriority w:val="99"/>
    <w:rsid w:val="00700C32"/>
  </w:style>
  <w:style w:type="paragraph" w:customStyle="1" w:styleId="FutureSowakluczowe">
    <w:name w:val="Future_Słowa kluczowe"/>
    <w:basedOn w:val="FutureStreszczeniepol"/>
    <w:link w:val="FutureSowakluczoweZnak"/>
    <w:qFormat/>
    <w:rsid w:val="00771FCD"/>
    <w:pPr>
      <w:spacing w:after="600"/>
    </w:pPr>
  </w:style>
  <w:style w:type="paragraph" w:customStyle="1" w:styleId="FutureWypunktowanie0">
    <w:name w:val="Future_Wypunktowanie"/>
    <w:basedOn w:val="Wypunktowanie"/>
    <w:link w:val="FutureWypunktowanieZnak0"/>
    <w:qFormat/>
    <w:rsid w:val="005A1203"/>
  </w:style>
  <w:style w:type="character" w:customStyle="1" w:styleId="FutureSowakluczoweZnak">
    <w:name w:val="Future_Słowa kluczowe Znak"/>
    <w:basedOn w:val="FutureStreszczeniepolZnak"/>
    <w:link w:val="FutureSowakluczowe"/>
    <w:rsid w:val="00771FCD"/>
  </w:style>
  <w:style w:type="paragraph" w:customStyle="1" w:styleId="FuturePrzypisdolny">
    <w:name w:val="Future_Przypis dolny"/>
    <w:basedOn w:val="Tekstprzypisudolnego"/>
    <w:link w:val="FuturePrzypisdolnyZnak"/>
    <w:qFormat/>
    <w:rsid w:val="005A1203"/>
    <w:pPr>
      <w:spacing w:line="240" w:lineRule="auto"/>
      <w:ind w:firstLine="397"/>
      <w:jc w:val="both"/>
    </w:pPr>
    <w:rPr>
      <w:sz w:val="18"/>
      <w:szCs w:val="18"/>
    </w:rPr>
  </w:style>
  <w:style w:type="character" w:customStyle="1" w:styleId="FutureWypunktowanieZnak0">
    <w:name w:val="Future_Wypunktowanie Znak"/>
    <w:basedOn w:val="WypunktowanieZnak"/>
    <w:link w:val="FutureWypunktowanie0"/>
    <w:rsid w:val="005A1203"/>
  </w:style>
  <w:style w:type="paragraph" w:customStyle="1" w:styleId="FutureRysunekTabela">
    <w:name w:val="Future_Rysunek_Tabela"/>
    <w:basedOn w:val="Rysunekischemat9p"/>
    <w:link w:val="FutureRysunekTabelaZnak"/>
    <w:qFormat/>
    <w:rsid w:val="00027DC4"/>
    <w:pPr>
      <w:spacing w:before="120"/>
    </w:pPr>
  </w:style>
  <w:style w:type="character" w:customStyle="1" w:styleId="TekstprzypisudolnegoZnak">
    <w:name w:val="Tekst przypisu dolnego Znak"/>
    <w:aliases w:val="Tekst przypisu Znak,Podrozdział Znak Znak Znak,Podrozdział Znak Znak1,single space Znak,FOOTNOTES Znak,fn Znak,Fußnote Znak,Podrozdzia3 Znak,przypis Znak"/>
    <w:basedOn w:val="Domylnaczcionkaakapitu"/>
    <w:link w:val="Tekstprzypisudolnego"/>
    <w:uiPriority w:val="99"/>
    <w:rsid w:val="005A1203"/>
  </w:style>
  <w:style w:type="character" w:customStyle="1" w:styleId="FuturePrzypisdolnyZnak">
    <w:name w:val="Future_Przypis dolny Znak"/>
    <w:basedOn w:val="TekstprzypisudolnegoZnak"/>
    <w:link w:val="FuturePrzypisdolny"/>
    <w:rsid w:val="005A1203"/>
    <w:rPr>
      <w:sz w:val="18"/>
      <w:szCs w:val="18"/>
    </w:rPr>
  </w:style>
  <w:style w:type="paragraph" w:customStyle="1" w:styleId="Futurerdo">
    <w:name w:val="Future_Źródło"/>
    <w:basedOn w:val="rdo8p"/>
    <w:link w:val="FuturerdoZnak"/>
    <w:qFormat/>
    <w:rsid w:val="00785C5C"/>
    <w:pPr>
      <w:spacing w:before="120"/>
      <w:ind w:left="0" w:firstLine="397"/>
    </w:pPr>
    <w:rPr>
      <w:sz w:val="18"/>
    </w:rPr>
  </w:style>
  <w:style w:type="character" w:customStyle="1" w:styleId="Rysunekischemat9pZnak">
    <w:name w:val="Rysunek i schemat 9p Znak"/>
    <w:basedOn w:val="Domylnaczcionkaakapitu"/>
    <w:link w:val="Rysunekischemat9p"/>
    <w:rsid w:val="00785C5C"/>
    <w:rPr>
      <w:sz w:val="18"/>
    </w:rPr>
  </w:style>
  <w:style w:type="character" w:customStyle="1" w:styleId="FutureRysunekTabelaZnak">
    <w:name w:val="Future_Rysunek_Tabela Znak"/>
    <w:basedOn w:val="Rysunekischemat9pZnak"/>
    <w:link w:val="FutureRysunekTabela"/>
    <w:rsid w:val="00027DC4"/>
  </w:style>
  <w:style w:type="paragraph" w:customStyle="1" w:styleId="FutureTekstwtabeli">
    <w:name w:val="Future_Tekst w tabeli"/>
    <w:basedOn w:val="Normalny"/>
    <w:link w:val="FutureTekstwtabeliZnak"/>
    <w:qFormat/>
    <w:rsid w:val="00027DC4"/>
    <w:pPr>
      <w:spacing w:line="240" w:lineRule="auto"/>
    </w:pPr>
    <w:rPr>
      <w:sz w:val="18"/>
    </w:rPr>
  </w:style>
  <w:style w:type="character" w:customStyle="1" w:styleId="FuturerdoZnak">
    <w:name w:val="Future_Źródło Znak"/>
    <w:basedOn w:val="rdo8pZnak"/>
    <w:link w:val="Futurerdo"/>
    <w:rsid w:val="00785C5C"/>
    <w:rPr>
      <w:sz w:val="18"/>
    </w:rPr>
  </w:style>
  <w:style w:type="paragraph" w:styleId="Tekstprzypisukocowego">
    <w:name w:val="endnote text"/>
    <w:basedOn w:val="Normalny"/>
    <w:link w:val="TekstprzypisukocowegoZnak"/>
    <w:uiPriority w:val="99"/>
    <w:rsid w:val="000C7A44"/>
    <w:pPr>
      <w:spacing w:line="240" w:lineRule="auto"/>
    </w:pPr>
  </w:style>
  <w:style w:type="character" w:customStyle="1" w:styleId="FutureTekstwtabeliZnak">
    <w:name w:val="Future_Tekst w tabeli Znak"/>
    <w:basedOn w:val="Domylnaczcionkaakapitu"/>
    <w:link w:val="FutureTekstwtabeli"/>
    <w:rsid w:val="00027DC4"/>
    <w:rPr>
      <w:sz w:val="18"/>
    </w:rPr>
  </w:style>
  <w:style w:type="character" w:customStyle="1" w:styleId="TekstprzypisukocowegoZnak">
    <w:name w:val="Tekst przypisu końcowego Znak"/>
    <w:basedOn w:val="Domylnaczcionkaakapitu"/>
    <w:link w:val="Tekstprzypisukocowego"/>
    <w:uiPriority w:val="99"/>
    <w:rsid w:val="000C7A44"/>
  </w:style>
  <w:style w:type="character" w:customStyle="1" w:styleId="Nagwek4Znak">
    <w:name w:val="Nagłówek 4 Znak"/>
    <w:basedOn w:val="Domylnaczcionkaakapitu"/>
    <w:link w:val="Nagwek4"/>
    <w:rsid w:val="000C7A44"/>
    <w:rPr>
      <w:rFonts w:ascii="Arial" w:hAnsi="Arial"/>
      <w:b/>
      <w:caps/>
      <w:sz w:val="22"/>
    </w:rPr>
  </w:style>
  <w:style w:type="character" w:customStyle="1" w:styleId="st">
    <w:name w:val="st"/>
    <w:basedOn w:val="Domylnaczcionkaakapitu"/>
    <w:rsid w:val="000C7A44"/>
  </w:style>
  <w:style w:type="paragraph" w:customStyle="1" w:styleId="FutureBibliografiapublikacje">
    <w:name w:val="Future_Bibliografia_publikacje"/>
    <w:basedOn w:val="Tekstprzypisukocowego"/>
    <w:link w:val="FutureBibliografiapublikacjeZnak"/>
    <w:qFormat/>
    <w:rsid w:val="000C7A44"/>
    <w:pPr>
      <w:ind w:left="397" w:hanging="397"/>
      <w:jc w:val="both"/>
    </w:pPr>
    <w:rPr>
      <w:sz w:val="18"/>
      <w:szCs w:val="18"/>
    </w:rPr>
  </w:style>
  <w:style w:type="paragraph" w:customStyle="1" w:styleId="FutureTitleinEnglish">
    <w:name w:val="Future_Title in English"/>
    <w:basedOn w:val="Tekstpodstawowy10pzakapitem"/>
    <w:link w:val="FutureTitleinEnglishZnak"/>
    <w:qFormat/>
    <w:rsid w:val="000C7A44"/>
    <w:pPr>
      <w:suppressAutoHyphens/>
      <w:spacing w:before="360" w:after="360"/>
      <w:ind w:firstLine="0"/>
      <w:jc w:val="center"/>
    </w:pPr>
    <w:rPr>
      <w:b/>
      <w:caps/>
      <w:sz w:val="18"/>
    </w:rPr>
  </w:style>
  <w:style w:type="character" w:customStyle="1" w:styleId="FutureBibliografiapublikacjeZnak">
    <w:name w:val="Future_Bibliografia_publikacje Znak"/>
    <w:basedOn w:val="TekstprzypisukocowegoZnak"/>
    <w:link w:val="FutureBibliografiapublikacje"/>
    <w:rsid w:val="000C7A44"/>
    <w:rPr>
      <w:sz w:val="18"/>
      <w:szCs w:val="18"/>
    </w:rPr>
  </w:style>
  <w:style w:type="paragraph" w:customStyle="1" w:styleId="FutureAbstract">
    <w:name w:val="Future_Abstract"/>
    <w:basedOn w:val="FutureStreszczeniepol"/>
    <w:link w:val="FutureAbstractZnak"/>
    <w:qFormat/>
    <w:rsid w:val="000C7A44"/>
    <w:pPr>
      <w:suppressAutoHyphens/>
      <w:spacing w:after="0"/>
    </w:pPr>
    <w:rPr>
      <w:szCs w:val="18"/>
      <w:lang w:val="en-US"/>
    </w:rPr>
  </w:style>
  <w:style w:type="character" w:customStyle="1" w:styleId="FutureTitleinEnglishZnak">
    <w:name w:val="Future_Title in English Znak"/>
    <w:basedOn w:val="Tekstpodstawowy10pzakapitemZnak"/>
    <w:link w:val="FutureTitleinEnglish"/>
    <w:rsid w:val="000C7A44"/>
    <w:rPr>
      <w:b/>
      <w:caps/>
      <w:sz w:val="18"/>
    </w:rPr>
  </w:style>
  <w:style w:type="paragraph" w:customStyle="1" w:styleId="FutureKeywords">
    <w:name w:val="Future_Key words"/>
    <w:basedOn w:val="FutureStreszczeniepol"/>
    <w:link w:val="FutureKeywordsZnak"/>
    <w:qFormat/>
    <w:rsid w:val="00A1476D"/>
    <w:pPr>
      <w:suppressAutoHyphens/>
      <w:spacing w:before="120" w:after="0"/>
    </w:pPr>
    <w:rPr>
      <w:lang w:val="en-US"/>
    </w:rPr>
  </w:style>
  <w:style w:type="character" w:customStyle="1" w:styleId="FutureAbstractZnak">
    <w:name w:val="Future_Abstract Znak"/>
    <w:basedOn w:val="FutureStreszczeniepolZnak"/>
    <w:link w:val="FutureAbstract"/>
    <w:rsid w:val="000C7A44"/>
    <w:rPr>
      <w:szCs w:val="18"/>
      <w:lang w:val="en-US"/>
    </w:rPr>
  </w:style>
  <w:style w:type="paragraph" w:styleId="Poprawka">
    <w:name w:val="Revision"/>
    <w:hidden/>
    <w:uiPriority w:val="99"/>
    <w:semiHidden/>
    <w:rsid w:val="00685C99"/>
  </w:style>
  <w:style w:type="character" w:customStyle="1" w:styleId="FutureKeywordsZnak">
    <w:name w:val="Future_Key words Znak"/>
    <w:basedOn w:val="FutureStreszczeniepolZnak"/>
    <w:link w:val="FutureKeywords"/>
    <w:rsid w:val="00A1476D"/>
    <w:rPr>
      <w:lang w:val="en-US"/>
    </w:rPr>
  </w:style>
  <w:style w:type="paragraph" w:styleId="Akapitzlist">
    <w:name w:val="List Paragraph"/>
    <w:basedOn w:val="Normalny"/>
    <w:uiPriority w:val="34"/>
    <w:qFormat/>
    <w:rsid w:val="005F4276"/>
    <w:pPr>
      <w:spacing w:after="200" w:line="360" w:lineRule="auto"/>
      <w:ind w:left="720" w:firstLine="709"/>
      <w:contextualSpacing/>
      <w:jc w:val="both"/>
    </w:pPr>
    <w:rPr>
      <w:rFonts w:asciiTheme="minorHAnsi" w:eastAsiaTheme="minorHAnsi" w:hAnsiTheme="minorHAnsi" w:cstheme="minorBidi"/>
      <w:sz w:val="22"/>
      <w:szCs w:val="22"/>
      <w:lang w:eastAsia="en-US"/>
    </w:rPr>
  </w:style>
  <w:style w:type="character" w:customStyle="1" w:styleId="apple-converted-space">
    <w:name w:val="apple-converted-space"/>
    <w:basedOn w:val="Domylnaczcionkaakapitu"/>
    <w:rsid w:val="008C6B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bp.pl/aktualnosci/wiadomosci_2012/esrb-2011-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oq.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ooq.com"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7DFE0-4D96-42F1-B1FB-59408963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3954</Words>
  <Characters>26246</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ZESZYTY  NAUKOWE  UNIWERSYTETU  SZCZECIŃSKIEGO</vt:lpstr>
    </vt:vector>
  </TitlesOfParts>
  <Company>HP</Company>
  <LinksUpToDate>false</LinksUpToDate>
  <CharactersWithSpaces>30140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ZESZYTY  NAUKOWE  UNIWERSYTETU  SZCZECIŃSKIEGO</dc:title>
  <dc:creator>Marek Rublewski</dc:creator>
  <cp:lastModifiedBy>User</cp:lastModifiedBy>
  <cp:revision>15</cp:revision>
  <cp:lastPrinted>2014-08-27T10:02:00Z</cp:lastPrinted>
  <dcterms:created xsi:type="dcterms:W3CDTF">2014-09-30T10:47:00Z</dcterms:created>
  <dcterms:modified xsi:type="dcterms:W3CDTF">2014-10-07T15:52:00Z</dcterms:modified>
</cp:coreProperties>
</file>