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34" w:rsidRPr="00642670" w:rsidRDefault="00313E83" w:rsidP="00313E83">
      <w:pPr>
        <w:pStyle w:val="FutureTytuart"/>
        <w:suppressAutoHyphens/>
      </w:pPr>
      <w:r w:rsidRPr="00313E83">
        <w:t xml:space="preserve">Próba oceny strategii ekspansji poprzez przejęcie </w:t>
      </w:r>
      <w:r w:rsidR="00072469">
        <w:t xml:space="preserve">na przykładzie transakcji </w:t>
      </w:r>
      <w:proofErr w:type="spellStart"/>
      <w:r w:rsidR="00072469">
        <w:t>Bosch–</w:t>
      </w:r>
      <w:r w:rsidRPr="00313E83">
        <w:t>Siemens</w:t>
      </w:r>
      <w:proofErr w:type="spellEnd"/>
      <w:r w:rsidRPr="00313E83">
        <w:t xml:space="preserve"> i Zelmer</w:t>
      </w:r>
    </w:p>
    <w:p w:rsidR="00E30026" w:rsidRPr="008724A4" w:rsidRDefault="00313E83" w:rsidP="008724A4">
      <w:pPr>
        <w:pStyle w:val="FutureAutor"/>
      </w:pPr>
      <w:r w:rsidRPr="00313E83">
        <w:t>Adrian Wójtowicz</w:t>
      </w:r>
      <w:r w:rsidR="008724A4" w:rsidRPr="00E70E7A">
        <w:rPr>
          <w:rStyle w:val="Odwoanieprzypisudolnego"/>
          <w:b w:val="0"/>
          <w:szCs w:val="22"/>
        </w:rPr>
        <w:footnoteReference w:customMarkFollows="1" w:id="2"/>
        <w:t>*</w:t>
      </w:r>
    </w:p>
    <w:p w:rsidR="00830A54" w:rsidRPr="00830A54" w:rsidRDefault="000A6D89" w:rsidP="00830A54">
      <w:pPr>
        <w:pStyle w:val="FutureStreszczeniepol"/>
      </w:pPr>
      <w:r w:rsidRPr="00830A54">
        <w:t>S</w:t>
      </w:r>
      <w:r w:rsidR="00DC7BA0" w:rsidRPr="00830A54">
        <w:t>treszczenie</w:t>
      </w:r>
      <w:r w:rsidRPr="00830A54">
        <w:t xml:space="preserve">: </w:t>
      </w:r>
    </w:p>
    <w:p w:rsidR="00EC1634" w:rsidRPr="00830A54" w:rsidRDefault="00F04409" w:rsidP="00830A54">
      <w:pPr>
        <w:pStyle w:val="FutureStreszczeniepol"/>
      </w:pPr>
      <w:r w:rsidRPr="00F04409">
        <w:t>Fuzje i przejęcia w obecnej zglobalizowanej gospodarce stanowią istotną strategię rozwoju przedsiębiorstw. Tę formę wzrostu wybrała grupa BSH, która przejęła polską spółkę giełdową Zelmer SA – lidera segmentu małego AGD w Europie Środkowo-Wschodniej. BSH jest globa</w:t>
      </w:r>
      <w:r w:rsidRPr="00F04409">
        <w:t>l</w:t>
      </w:r>
      <w:r w:rsidRPr="00F04409">
        <w:t>nym producentem dużego AGD. W artykule dokonano analizy obu spółek i podjęto ocenę zasa</w:t>
      </w:r>
      <w:r w:rsidRPr="00F04409">
        <w:t>d</w:t>
      </w:r>
      <w:r w:rsidRPr="00F04409">
        <w:t xml:space="preserve">ności transakcji w kontekście rozwoju grupy kapitałowej BSH. Oceniono, iż przejęcie korzystnie przyczyniło się do wzrostu udziału rynkowego w Europie Środkowo-Wschodniej. Przyczyniło się również do poszerzenia </w:t>
      </w:r>
      <w:proofErr w:type="spellStart"/>
      <w:r w:rsidRPr="00F04409">
        <w:t>portfolio</w:t>
      </w:r>
      <w:proofErr w:type="spellEnd"/>
      <w:r w:rsidRPr="00F04409">
        <w:t xml:space="preserve"> produktowego grupy.</w:t>
      </w:r>
    </w:p>
    <w:p w:rsidR="001708F9" w:rsidRPr="00830A54" w:rsidRDefault="001708F9" w:rsidP="00830A54">
      <w:pPr>
        <w:pStyle w:val="FutureSowakluczowe"/>
      </w:pPr>
      <w:r w:rsidRPr="00830A54">
        <w:t xml:space="preserve">Słowa kluczowe: </w:t>
      </w:r>
      <w:r w:rsidR="00F04409" w:rsidRPr="00F04409">
        <w:t>fuzje i przejęcia, zarządzanie strategiczne, strategia przedsiębiorstwa, str</w:t>
      </w:r>
      <w:r w:rsidR="00F04409" w:rsidRPr="00F04409">
        <w:t>a</w:t>
      </w:r>
      <w:r w:rsidR="00F04409" w:rsidRPr="00F04409">
        <w:t>tegia rozwoju, wzrost zewnętrzny, rynek AGD</w:t>
      </w:r>
      <w:r w:rsidR="00642670">
        <w:t>.</w:t>
      </w:r>
    </w:p>
    <w:p w:rsidR="00E30026" w:rsidRPr="00F16B10" w:rsidRDefault="00E30026" w:rsidP="00830A54">
      <w:pPr>
        <w:pStyle w:val="FutureTyturozdziau"/>
      </w:pPr>
      <w:r w:rsidRPr="00E30026">
        <w:t>Wpr</w:t>
      </w:r>
      <w:r w:rsidR="00F16B10">
        <w:t>owadzenie</w:t>
      </w:r>
    </w:p>
    <w:p w:rsidR="00F04409" w:rsidRDefault="00F04409" w:rsidP="00366C7A">
      <w:pPr>
        <w:pStyle w:val="FutureTekstpodstawowy"/>
      </w:pPr>
      <w:r>
        <w:t>Celem niniejszego opracowania jest próba oceny strategii ekspansji konce</w:t>
      </w:r>
      <w:r>
        <w:t>r</w:t>
      </w:r>
      <w:r>
        <w:t xml:space="preserve">nu </w:t>
      </w:r>
      <w:r w:rsidRPr="00390199">
        <w:t xml:space="preserve">BSH Bosch </w:t>
      </w:r>
      <w:proofErr w:type="spellStart"/>
      <w:r w:rsidRPr="00390199">
        <w:t>und</w:t>
      </w:r>
      <w:proofErr w:type="spellEnd"/>
      <w:r w:rsidRPr="00390199">
        <w:t xml:space="preserve"> Siemens </w:t>
      </w:r>
      <w:proofErr w:type="spellStart"/>
      <w:r w:rsidRPr="00390199">
        <w:t>Hausgeräte</w:t>
      </w:r>
      <w:proofErr w:type="spellEnd"/>
      <w:r w:rsidRPr="00390199">
        <w:t xml:space="preserve"> </w:t>
      </w:r>
      <w:proofErr w:type="spellStart"/>
      <w:r w:rsidRPr="00390199">
        <w:t>GmbH</w:t>
      </w:r>
      <w:proofErr w:type="spellEnd"/>
      <w:r w:rsidR="00C97D5B">
        <w:t xml:space="preserve"> metodą wzrostu zewnętrznego, a </w:t>
      </w:r>
      <w:r>
        <w:t xml:space="preserve">więc drogą fuzji i przejęć na podstawie sfinalizowanej transakcji nabycia akcji Zelmer SA. Próba oceny będzie się opierać na podstawie dostępnych informacji prasowych na temat transakcji, sprawozdań finansowych obu podmiotów oraz raportów giełdowych </w:t>
      </w:r>
      <w:proofErr w:type="spellStart"/>
      <w:r>
        <w:t>Bosch</w:t>
      </w:r>
      <w:r w:rsidR="00072469">
        <w:t>–</w:t>
      </w:r>
      <w:r>
        <w:t>Siemens</w:t>
      </w:r>
      <w:proofErr w:type="spellEnd"/>
      <w:r>
        <w:t xml:space="preserve"> dostępnych na stronie relacji inwesto</w:t>
      </w:r>
      <w:r>
        <w:t>r</w:t>
      </w:r>
      <w:r>
        <w:t>skich tego podmiotu. Opracowanie ma na celu uzyskanie odpowiedzi na pytanie, czy przeprowadzona transakcja była zasadna w kontekście rozwoju grupy kap</w:t>
      </w:r>
      <w:r>
        <w:t>i</w:t>
      </w:r>
      <w:r>
        <w:lastRenderedPageBreak/>
        <w:t>tałowej. W sposób syntetyczny zostanie przedstawiona charakterystyka obu spółek i podłoże rynkowe w którym dokonała się transakcja. Na zakończenie podjęta zostanie próba oceny strategii rozwoju powziętej przez zarząd niemie</w:t>
      </w:r>
      <w:r>
        <w:t>c</w:t>
      </w:r>
      <w:r>
        <w:t>kiego producenta na podstawie zebranych informacji i ich analizy.</w:t>
      </w:r>
    </w:p>
    <w:p w:rsidR="00F04409" w:rsidRPr="00264B9C" w:rsidRDefault="00F04409" w:rsidP="00366C7A">
      <w:pPr>
        <w:pStyle w:val="FutureTekstpodstawowy"/>
        <w:rPr>
          <w:spacing w:val="-2"/>
        </w:rPr>
      </w:pPr>
      <w:r w:rsidRPr="00C97D5B">
        <w:rPr>
          <w:spacing w:val="-2"/>
        </w:rPr>
        <w:t xml:space="preserve">Tytułem wstępu należy podać kluczowe fakty na temat transakcji. </w:t>
      </w:r>
      <w:r w:rsidR="00C97D5B" w:rsidRPr="00C97D5B">
        <w:rPr>
          <w:spacing w:val="-2"/>
        </w:rPr>
        <w:t>W 2001 r.</w:t>
      </w:r>
      <w:r w:rsidRPr="00C97D5B">
        <w:rPr>
          <w:spacing w:val="-2"/>
        </w:rPr>
        <w:t xml:space="preserve"> przedsiębiorstwo państwowe</w:t>
      </w:r>
      <w:r w:rsidRPr="00390199">
        <w:t xml:space="preserve"> Zelmer z siedzibą w Rzeszowie zostało przekszta</w:t>
      </w:r>
      <w:r w:rsidRPr="00390199">
        <w:t>ł</w:t>
      </w:r>
      <w:r w:rsidRPr="00390199">
        <w:t>cone w spółkę akcyjną, a w roku 2005 akcje Zelmer SA zadebiutowały na Gie</w:t>
      </w:r>
      <w:r w:rsidRPr="00390199">
        <w:t>ł</w:t>
      </w:r>
      <w:r w:rsidRPr="00390199">
        <w:t>dzie Papierów Wartościowych w Warszawie</w:t>
      </w:r>
      <w:r w:rsidR="000254F0">
        <w:t xml:space="preserve"> </w:t>
      </w:r>
      <w:r w:rsidR="000254F0" w:rsidRPr="00B55B66">
        <w:t>[</w:t>
      </w:r>
      <w:r w:rsidR="00B55B66" w:rsidRPr="00B55B66">
        <w:rPr>
          <w:i/>
        </w:rPr>
        <w:t>Dlaczego</w:t>
      </w:r>
      <w:r w:rsidR="00366C7A">
        <w:rPr>
          <w:i/>
        </w:rPr>
        <w:t xml:space="preserve"> </w:t>
      </w:r>
      <w:r w:rsidR="00366C7A" w:rsidRPr="000254F0">
        <w:rPr>
          <w:i/>
        </w:rPr>
        <w:t>Zelmer</w:t>
      </w:r>
      <w:r w:rsidR="00366C7A">
        <w:t>, dostęp: 04.06.2014]</w:t>
      </w:r>
      <w:r w:rsidRPr="00B55B66">
        <w:t>.</w:t>
      </w:r>
      <w:r w:rsidR="000254F0" w:rsidRPr="00390199">
        <w:t xml:space="preserve"> </w:t>
      </w:r>
      <w:r w:rsidRPr="00390199">
        <w:t xml:space="preserve">BSH Bosch </w:t>
      </w:r>
      <w:proofErr w:type="spellStart"/>
      <w:r w:rsidRPr="00390199">
        <w:t>und</w:t>
      </w:r>
      <w:proofErr w:type="spellEnd"/>
      <w:r w:rsidRPr="00390199">
        <w:t xml:space="preserve"> Siemens </w:t>
      </w:r>
      <w:proofErr w:type="spellStart"/>
      <w:r w:rsidRPr="00390199">
        <w:t>Hausgeräte</w:t>
      </w:r>
      <w:proofErr w:type="spellEnd"/>
      <w:r w:rsidRPr="00390199">
        <w:t xml:space="preserve"> </w:t>
      </w:r>
      <w:proofErr w:type="spellStart"/>
      <w:r w:rsidRPr="00390199">
        <w:t>GmbH</w:t>
      </w:r>
      <w:proofErr w:type="spellEnd"/>
      <w:r>
        <w:t xml:space="preserve"> z siedzibą w Mon</w:t>
      </w:r>
      <w:r>
        <w:t>a</w:t>
      </w:r>
      <w:r>
        <w:t>chium poprzez swoją spółkę</w:t>
      </w:r>
      <w:r w:rsidR="00C97D5B">
        <w:t xml:space="preserve"> – </w:t>
      </w:r>
      <w:r>
        <w:t>córkę BSH S</w:t>
      </w:r>
      <w:r w:rsidR="000254F0">
        <w:t>przęt Gospodarstwa Domowego Sp.</w:t>
      </w:r>
      <w:r w:rsidR="00264B9C">
        <w:t> </w:t>
      </w:r>
      <w:r>
        <w:t>z o.o. wezwała 14</w:t>
      </w:r>
      <w:r w:rsidR="00264B9C">
        <w:t xml:space="preserve"> listopada </w:t>
      </w:r>
      <w:r>
        <w:t>2012 r. do sprzedaży 100% akcji po cenie 40</w:t>
      </w:r>
      <w:r w:rsidR="00C97D5B">
        <w:t xml:space="preserve"> </w:t>
      </w:r>
      <w:r>
        <w:t>zł za akcję. Wezwanie było poprzedzone porozumieniem między niemieckim ko</w:t>
      </w:r>
      <w:r>
        <w:t>n</w:t>
      </w:r>
      <w:r>
        <w:t xml:space="preserve">cernem a funduszem zarządzanym przez </w:t>
      </w:r>
      <w:proofErr w:type="spellStart"/>
      <w:r>
        <w:t>Enterprise</w:t>
      </w:r>
      <w:proofErr w:type="spellEnd"/>
      <w:r>
        <w:t xml:space="preserve"> </w:t>
      </w:r>
      <w:proofErr w:type="spellStart"/>
      <w:r>
        <w:t>Investors</w:t>
      </w:r>
      <w:proofErr w:type="spellEnd"/>
      <w:r>
        <w:t xml:space="preserve">, który posiadał większościowy pakiet 49% wszystkich akcji </w:t>
      </w:r>
      <w:proofErr w:type="spellStart"/>
      <w:r>
        <w:t>Zelmera</w:t>
      </w:r>
      <w:proofErr w:type="spellEnd"/>
      <w:r>
        <w:t>. BSH miało dokonać transakcji pod warunkiem, iż zostanie nabyte przynajmniej 75% wszystkich akcji w wyn</w:t>
      </w:r>
      <w:r>
        <w:t>i</w:t>
      </w:r>
      <w:r>
        <w:t>ku wezwania</w:t>
      </w:r>
      <w:r w:rsidR="000254F0">
        <w:t xml:space="preserve"> </w:t>
      </w:r>
      <w:r w:rsidR="000254F0" w:rsidRPr="00B55B66">
        <w:t>[</w:t>
      </w:r>
      <w:r w:rsidR="000254F0" w:rsidRPr="00B55B66">
        <w:rPr>
          <w:i/>
        </w:rPr>
        <w:t>Bosc</w:t>
      </w:r>
      <w:r w:rsidR="00B55B66" w:rsidRPr="00B55B66">
        <w:rPr>
          <w:i/>
        </w:rPr>
        <w:t>h</w:t>
      </w:r>
      <w:r w:rsidR="000254F0" w:rsidRPr="00B55B66">
        <w:rPr>
          <w:i/>
        </w:rPr>
        <w:t xml:space="preserve"> chce</w:t>
      </w:r>
      <w:r w:rsidR="00366C7A" w:rsidRPr="00366C7A">
        <w:rPr>
          <w:i/>
        </w:rPr>
        <w:t xml:space="preserve"> </w:t>
      </w:r>
      <w:r w:rsidR="00366C7A" w:rsidRPr="002B1AC7">
        <w:rPr>
          <w:i/>
        </w:rPr>
        <w:t xml:space="preserve">przejąć </w:t>
      </w:r>
      <w:proofErr w:type="spellStart"/>
      <w:r w:rsidR="00366C7A" w:rsidRPr="002B1AC7">
        <w:rPr>
          <w:i/>
        </w:rPr>
        <w:t>Zelmera</w:t>
      </w:r>
      <w:proofErr w:type="spellEnd"/>
      <w:r w:rsidR="00366C7A">
        <w:t>…, dostęp: 04.06.2014</w:t>
      </w:r>
      <w:r w:rsidR="000254F0" w:rsidRPr="00B55B66">
        <w:t>]</w:t>
      </w:r>
      <w:r w:rsidRPr="00B55B66">
        <w:t>.</w:t>
      </w:r>
      <w:r>
        <w:t xml:space="preserve"> </w:t>
      </w:r>
      <w:r w:rsidRPr="00264B9C">
        <w:rPr>
          <w:spacing w:val="-2"/>
        </w:rPr>
        <w:t>Zaoferowana cena 40</w:t>
      </w:r>
      <w:r w:rsidR="00C97D5B" w:rsidRPr="00264B9C">
        <w:rPr>
          <w:spacing w:val="-2"/>
        </w:rPr>
        <w:t xml:space="preserve"> </w:t>
      </w:r>
      <w:r w:rsidRPr="00264B9C">
        <w:rPr>
          <w:spacing w:val="-2"/>
        </w:rPr>
        <w:t>zł za akcję była atrakcyjna, gdyż była o 1/3 większa niż wynosił średni kurs z ostatnich trzech miesięcy poprzedzających wezwanie. Transfer 97,78% procent akcji na rzecz BSH został zakończony 22 marca 2013 r.</w:t>
      </w:r>
    </w:p>
    <w:p w:rsidR="00F04409" w:rsidRDefault="00F04409" w:rsidP="00F04409">
      <w:pPr>
        <w:pStyle w:val="FutureTekstpodstawowy"/>
      </w:pPr>
      <w:r>
        <w:t>Omawiana w niniejszym opracowaniu transakcja wpisuje się w problemat</w:t>
      </w:r>
      <w:r>
        <w:t>y</w:t>
      </w:r>
      <w:r>
        <w:t>kę zarządzania strategicznego, a ściślej strategii wzrostu przedsiębiorstwa. Z</w:t>
      </w:r>
      <w:r>
        <w:t>a</w:t>
      </w:r>
      <w:r>
        <w:t>rządzanie strategiczne to planowanie, organi</w:t>
      </w:r>
      <w:r w:rsidR="00C97D5B">
        <w:t>zowanie, kierowanie, kontrola i </w:t>
      </w:r>
      <w:r>
        <w:t xml:space="preserve">weryfikacja, dotyczące określania i </w:t>
      </w:r>
      <w:r w:rsidRPr="007C6CAB">
        <w:t>realizacji celów strategicznych organizacji; planowania i realizacji zmian w organizacji; zmian zasobów i umiejętności o</w:t>
      </w:r>
      <w:r w:rsidRPr="007C6CAB">
        <w:t>r</w:t>
      </w:r>
      <w:r w:rsidRPr="007C6CAB">
        <w:t>ganizacji, jej struktur i systemów</w:t>
      </w:r>
      <w:r w:rsidR="002B1AC7">
        <w:t xml:space="preserve"> </w:t>
      </w:r>
      <w:r w:rsidR="002B1AC7" w:rsidRPr="00B55B66">
        <w:t>[Pierścionek 2003: 14]</w:t>
      </w:r>
      <w:r w:rsidRPr="00B55B66">
        <w:t>.</w:t>
      </w:r>
      <w:r w:rsidRPr="007C6CAB">
        <w:t xml:space="preserve"> Centralnym pojęciem zarządzania strategicznego jest strategia, którą można zdefiniować jako pewien racjonalny, kompleksowy, obiektywnie uwarunkowany zestaw działań kiero</w:t>
      </w:r>
      <w:r w:rsidRPr="007C6CAB">
        <w:t>w</w:t>
      </w:r>
      <w:r w:rsidRPr="007C6CAB">
        <w:t>nictwa skierowany ku przyszłości, oparty na analizach przyszłych warunków działania</w:t>
      </w:r>
      <w:r w:rsidR="002B1AC7">
        <w:t xml:space="preserve"> </w:t>
      </w:r>
      <w:r w:rsidR="002B1AC7" w:rsidRPr="00B55B66">
        <w:t>[</w:t>
      </w:r>
      <w:r w:rsidR="00072469">
        <w:t>Pierścionek 2003: 14</w:t>
      </w:r>
      <w:r w:rsidR="002B1AC7" w:rsidRPr="00B55B66">
        <w:t>]</w:t>
      </w:r>
      <w:r w:rsidRPr="007C6CAB">
        <w:t>. Strategia rozwoju firmy może być realizowana metodą wewnętrzną (w oparciu o własne zasoby) lub metodą zewnętrzną – przy istotnym udziale innych przedsiębiorstw, będących dostawcami, odbiorcami lub jej konkurentami</w:t>
      </w:r>
      <w:r w:rsidR="002B1AC7">
        <w:t xml:space="preserve"> </w:t>
      </w:r>
      <w:r w:rsidR="002B1AC7" w:rsidRPr="00B55B66">
        <w:t>[</w:t>
      </w:r>
      <w:r w:rsidR="00072469">
        <w:t>Pierścionek 2003</w:t>
      </w:r>
      <w:r w:rsidR="002B1AC7" w:rsidRPr="00B55B66">
        <w:t>: 383]</w:t>
      </w:r>
      <w:r w:rsidRPr="00B55B66">
        <w:t>.</w:t>
      </w:r>
      <w:r w:rsidRPr="007C6CAB">
        <w:t xml:space="preserve"> Jedną ze strategii wzrostu zewnętr</w:t>
      </w:r>
      <w:r w:rsidRPr="007C6CAB">
        <w:t>z</w:t>
      </w:r>
      <w:r w:rsidRPr="007C6CAB">
        <w:t>nego przedsiębiorstwa jest st</w:t>
      </w:r>
      <w:r w:rsidR="00EA235E">
        <w:t xml:space="preserve">rategia wzrostu poprzez fuzje i </w:t>
      </w:r>
      <w:r w:rsidRPr="007C6CAB">
        <w:t>przejęcia, charakt</w:t>
      </w:r>
      <w:r w:rsidRPr="007C6CAB">
        <w:t>e</w:t>
      </w:r>
      <w:r w:rsidRPr="007C6CAB">
        <w:t>rystyczn</w:t>
      </w:r>
      <w:r>
        <w:t>a dla dużych przedsiębiorstw międzynarodowych, korporacji. Fuzja dokonywana jest poprzez konsolidację bądź inkorporację. Konsolidacja polega na połączeniu dwóch przedsiębiorstw, w wyniku którego przedsiębiorstwa te przestają istnieć, natomiast powstaje nowe, trzecie przedsiębiorstwo stanowiące osobny byt prawny (A</w:t>
      </w:r>
      <w:r w:rsidR="00072469">
        <w:t> </w:t>
      </w:r>
      <w:r>
        <w:t>+</w:t>
      </w:r>
      <w:r w:rsidR="00072469">
        <w:t> </w:t>
      </w:r>
      <w:r>
        <w:t>B</w:t>
      </w:r>
      <w:r w:rsidR="00072469">
        <w:t> </w:t>
      </w:r>
      <w:r>
        <w:t>=</w:t>
      </w:r>
      <w:r w:rsidR="00072469">
        <w:t> </w:t>
      </w:r>
      <w:r>
        <w:t>C). Inkorporacja polega na „wchłonięciu”, jednego przedsiębiorstwa przez drugie, w wyniku czego drugie przedsiębiors</w:t>
      </w:r>
      <w:r w:rsidR="00C97D5B">
        <w:t>two przest</w:t>
      </w:r>
      <w:r w:rsidR="00C97D5B">
        <w:t>a</w:t>
      </w:r>
      <w:r w:rsidR="00C97D5B">
        <w:t>je istnieć (A</w:t>
      </w:r>
      <w:r w:rsidR="00072469">
        <w:t> </w:t>
      </w:r>
      <w:r w:rsidR="00C97D5B">
        <w:t>+</w:t>
      </w:r>
      <w:r w:rsidR="00072469">
        <w:t> </w:t>
      </w:r>
      <w:r w:rsidR="00C97D5B">
        <w:t>B</w:t>
      </w:r>
      <w:r w:rsidR="00072469">
        <w:t> </w:t>
      </w:r>
      <w:r w:rsidR="00C97D5B">
        <w:t>=</w:t>
      </w:r>
      <w:r w:rsidR="00072469">
        <w:t> </w:t>
      </w:r>
      <w:r w:rsidR="00C97D5B">
        <w:t xml:space="preserve">A). </w:t>
      </w:r>
      <w:r>
        <w:t>Przejęcie danej firmy polega natomiast na przejęciu nad nią kontroli, przy czym nie traci ona osobowości prawnej</w:t>
      </w:r>
      <w:r w:rsidR="002B1AC7">
        <w:t xml:space="preserve"> </w:t>
      </w:r>
      <w:r w:rsidR="002B1AC7" w:rsidRPr="00B55B66">
        <w:t>[</w:t>
      </w:r>
      <w:r w:rsidR="00072469">
        <w:t>Pierścionek 2003</w:t>
      </w:r>
      <w:r w:rsidR="002B1AC7" w:rsidRPr="00B55B66">
        <w:t xml:space="preserve">: </w:t>
      </w:r>
      <w:r w:rsidR="002B1AC7" w:rsidRPr="00B55B66">
        <w:lastRenderedPageBreak/>
        <w:t>386</w:t>
      </w:r>
      <w:r w:rsidR="00072469">
        <w:t>;</w:t>
      </w:r>
      <w:r w:rsidR="002B1AC7" w:rsidRPr="00B55B66">
        <w:t xml:space="preserve"> zob. Frąckowiak 2009: 19–20]</w:t>
      </w:r>
      <w:r>
        <w:t>. Transakcja będąca tematem niniejszego opracowania jest typowym przejęciem.</w:t>
      </w:r>
    </w:p>
    <w:p w:rsidR="00F04409" w:rsidRDefault="00F04409" w:rsidP="00F04409">
      <w:pPr>
        <w:pStyle w:val="FutureTekstpodstawowy"/>
      </w:pPr>
      <w:r>
        <w:t>Wyróżnia się następujące rodzaje przejęć:</w:t>
      </w:r>
    </w:p>
    <w:p w:rsidR="00F04409" w:rsidRDefault="00072469" w:rsidP="00CB226F">
      <w:pPr>
        <w:pStyle w:val="FutureWypunktowanie0"/>
        <w:spacing w:line="240" w:lineRule="auto"/>
      </w:pPr>
      <w:r>
        <w:t>p</w:t>
      </w:r>
      <w:r w:rsidR="00F04409">
        <w:t>oziome (przejęcie przedsiębiorstwa z tej samej branży co przedsiębio</w:t>
      </w:r>
      <w:r w:rsidR="00F04409">
        <w:t>r</w:t>
      </w:r>
      <w:r w:rsidR="00F04409">
        <w:t>stwo przejmujące);</w:t>
      </w:r>
    </w:p>
    <w:p w:rsidR="00F04409" w:rsidRDefault="00072469" w:rsidP="00CB226F">
      <w:pPr>
        <w:pStyle w:val="FutureWypunktowanie0"/>
        <w:spacing w:line="240" w:lineRule="auto"/>
      </w:pPr>
      <w:r>
        <w:t>p</w:t>
      </w:r>
      <w:r w:rsidR="00F04409">
        <w:t>ionowe (obejmują przedsiębiorstwa z różnych faz procesu produkcyjn</w:t>
      </w:r>
      <w:r w:rsidR="00F04409">
        <w:t>e</w:t>
      </w:r>
      <w:r w:rsidR="00F04409">
        <w:t>go);</w:t>
      </w:r>
    </w:p>
    <w:p w:rsidR="00F04409" w:rsidRDefault="00072469" w:rsidP="00CB226F">
      <w:pPr>
        <w:pStyle w:val="FutureWypunktowanie0"/>
        <w:spacing w:line="240" w:lineRule="auto"/>
      </w:pPr>
      <w:proofErr w:type="spellStart"/>
      <w:r>
        <w:t>k</w:t>
      </w:r>
      <w:r w:rsidR="00F04409">
        <w:t>onglomeratowe</w:t>
      </w:r>
      <w:proofErr w:type="spellEnd"/>
      <w:r w:rsidR="00F04409">
        <w:t xml:space="preserve"> (przedsiębiorstwo przejmowane i przejmujące nie są wzajemnie powiązane, dotyczy przedsiębiorstw o odmiennych sferach działania, ma to na celu rozszerzenie asortymentu produkcji)</w:t>
      </w:r>
      <w:r w:rsidR="002B1AC7">
        <w:t xml:space="preserve"> </w:t>
      </w:r>
      <w:r w:rsidR="002B1AC7" w:rsidRPr="00B55B66">
        <w:t>[</w:t>
      </w:r>
      <w:proofErr w:type="spellStart"/>
      <w:r w:rsidR="002B1AC7" w:rsidRPr="00B55B66">
        <w:t>Pomykalska</w:t>
      </w:r>
      <w:proofErr w:type="spellEnd"/>
      <w:r>
        <w:t xml:space="preserve"> i</w:t>
      </w:r>
      <w:r w:rsidR="002B1AC7" w:rsidRPr="00B55B66">
        <w:t xml:space="preserve"> </w:t>
      </w:r>
      <w:proofErr w:type="spellStart"/>
      <w:r w:rsidR="002B1AC7" w:rsidRPr="00B55B66">
        <w:t>Pomykalski</w:t>
      </w:r>
      <w:proofErr w:type="spellEnd"/>
      <w:r w:rsidR="002B1AC7" w:rsidRPr="00B55B66">
        <w:t xml:space="preserve"> 2008: 304]</w:t>
      </w:r>
      <w:r w:rsidR="00F04409" w:rsidRPr="00B55B66">
        <w:t>.</w:t>
      </w:r>
    </w:p>
    <w:p w:rsidR="00F04409" w:rsidRDefault="00F04409" w:rsidP="00F04409">
      <w:pPr>
        <w:pStyle w:val="FutureTekstpodstawowy"/>
      </w:pPr>
      <w:r w:rsidRPr="00F04409">
        <w:t xml:space="preserve">Przejęcie </w:t>
      </w:r>
      <w:proofErr w:type="spellStart"/>
      <w:r w:rsidRPr="00F04409">
        <w:t>Zelmera</w:t>
      </w:r>
      <w:proofErr w:type="spellEnd"/>
      <w:r w:rsidRPr="00F04409">
        <w:t xml:space="preserve"> przez BSH można scharakteryzować jako przejęcie p</w:t>
      </w:r>
      <w:r w:rsidRPr="00F04409">
        <w:t>o</w:t>
      </w:r>
      <w:r w:rsidRPr="00F04409">
        <w:t>ziome ze względu na działalność obu przedsiębiorstw w szeroko pojętej branży producentów AGD. Z drugiej jednak strony (jak będzie wspomniane w dalszej części opracowania) BSH operuje w podsektorze dużego AGD, natomiast Ze</w:t>
      </w:r>
      <w:r w:rsidRPr="00F04409">
        <w:t>l</w:t>
      </w:r>
      <w:r w:rsidRPr="00F04409">
        <w:t>mer małego AGD. Dlatego chcąc być bardziej precyzyjnym należałoby schara</w:t>
      </w:r>
      <w:r w:rsidRPr="00F04409">
        <w:t>k</w:t>
      </w:r>
      <w:r w:rsidRPr="00F04409">
        <w:t xml:space="preserve">teryzować tę transakcję jako przejęcie </w:t>
      </w:r>
      <w:proofErr w:type="spellStart"/>
      <w:r w:rsidRPr="00F04409">
        <w:t>konglomeratowe</w:t>
      </w:r>
      <w:proofErr w:type="spellEnd"/>
      <w:r w:rsidRPr="00F04409">
        <w:t>.</w:t>
      </w:r>
    </w:p>
    <w:p w:rsidR="00F16B10" w:rsidRPr="00F04409" w:rsidRDefault="00F16B10" w:rsidP="00F16B10">
      <w:pPr>
        <w:pStyle w:val="FutureTyturozdziau"/>
      </w:pPr>
      <w:r w:rsidRPr="00F04409">
        <w:t>1. </w:t>
      </w:r>
      <w:r w:rsidR="00F04409" w:rsidRPr="00F04409">
        <w:t>Charakterystyka rynku AGD w Polsce</w:t>
      </w:r>
    </w:p>
    <w:p w:rsidR="00F04409" w:rsidRDefault="00F04409" w:rsidP="00F04409">
      <w:pPr>
        <w:pStyle w:val="FutureTekstpodstawowy"/>
      </w:pPr>
      <w:r>
        <w:t>Z przeglądu informacji prasowych dostępnych w Internecie i analizie st</w:t>
      </w:r>
      <w:r>
        <w:t>o</w:t>
      </w:r>
      <w:r>
        <w:t>sownych danych sporządzonych przez Związek Pracodawców AGD CECED Polska jednoznacznie wynika, że Polska je</w:t>
      </w:r>
      <w:r w:rsidR="00C97D5B">
        <w:t>st jednym z liderów rynku AGD w </w:t>
      </w:r>
      <w:r>
        <w:t>Europie. Rynek odnotowuje rokrocznie wzrost produkcji sprzętu AGD.</w:t>
      </w:r>
    </w:p>
    <w:p w:rsidR="00F04409" w:rsidRDefault="00F04409" w:rsidP="00F04409">
      <w:pPr>
        <w:pStyle w:val="FutureTekstpodstawowy"/>
      </w:pPr>
      <w:r>
        <w:t>Wspomniany Związek CECED Polska podaje szacunkowe informacje o bl</w:t>
      </w:r>
      <w:r>
        <w:t>i</w:t>
      </w:r>
      <w:r>
        <w:t>sko 22 tys. osób zatrudnionych w sektorze produkcji AGD. W Polsce funkcjon</w:t>
      </w:r>
      <w:r>
        <w:t>u</w:t>
      </w:r>
      <w:r>
        <w:t>je 27 fabryk tych produktów i główne ich ośrodki to województwo łódzkie, wielkopolskie, podkarpackie i dolnośląskie. Do znaczących producentów fun</w:t>
      </w:r>
      <w:r>
        <w:t>k</w:t>
      </w:r>
      <w:r>
        <w:t>cjonujących na polskim rynku zaliczają się: BSH Sprzęt Gospodarstwa Dom</w:t>
      </w:r>
      <w:r>
        <w:t>o</w:t>
      </w:r>
      <w:r>
        <w:t>wego, Zelmer, Indesit, Amica, Whirlpool, Samsung i Electrolux</w:t>
      </w:r>
      <w:r w:rsidR="002B1AC7">
        <w:t xml:space="preserve"> </w:t>
      </w:r>
      <w:r w:rsidR="002B1AC7" w:rsidRPr="00366C7A">
        <w:t>[</w:t>
      </w:r>
      <w:r w:rsidR="002B1AC7" w:rsidRPr="00366C7A">
        <w:rPr>
          <w:i/>
        </w:rPr>
        <w:t>Branża</w:t>
      </w:r>
      <w:r w:rsidR="00366C7A" w:rsidRPr="00366C7A">
        <w:rPr>
          <w:i/>
        </w:rPr>
        <w:t xml:space="preserve"> AGD</w:t>
      </w:r>
      <w:r w:rsidR="00B55B66" w:rsidRPr="00366C7A">
        <w:rPr>
          <w:i/>
        </w:rPr>
        <w:t>…</w:t>
      </w:r>
      <w:r w:rsidR="00366C7A" w:rsidRPr="00366C7A">
        <w:t xml:space="preserve">, </w:t>
      </w:r>
      <w:r w:rsidR="00366C7A">
        <w:t xml:space="preserve">dostęp: </w:t>
      </w:r>
      <w:r w:rsidR="00366C7A" w:rsidRPr="00115336">
        <w:t>04.06.2014</w:t>
      </w:r>
      <w:r w:rsidR="002B1AC7" w:rsidRPr="00366C7A">
        <w:t>]</w:t>
      </w:r>
      <w:r w:rsidRPr="00366C7A">
        <w:t>.</w:t>
      </w:r>
    </w:p>
    <w:p w:rsidR="00F04409" w:rsidRPr="00EA235E" w:rsidRDefault="00F04409" w:rsidP="00F04409">
      <w:pPr>
        <w:pStyle w:val="FutureTekstpodstawowy"/>
        <w:rPr>
          <w:spacing w:val="-2"/>
        </w:rPr>
      </w:pPr>
      <w:r>
        <w:t>Rynek dóbr AGD dzieli się na tzw. duże i małe AGD. Do dużego AGD z</w:t>
      </w:r>
      <w:r>
        <w:t>a</w:t>
      </w:r>
      <w:r>
        <w:t xml:space="preserve">liczymy lodówki, pralki, zmywarki. Do małego AGD zaliczymy odkurzacze, suszarki, żelazka etc. CECED Polska podaje, iż wielkość </w:t>
      </w:r>
      <w:r w:rsidRPr="00120DAE">
        <w:t>krajowego</w:t>
      </w:r>
      <w:r>
        <w:t xml:space="preserve"> rynku AGD szacuje się na 8 mld zł, z czego 6 mld na d</w:t>
      </w:r>
      <w:r w:rsidR="00C97D5B">
        <w:t>uże AGD, a 2 mld na małe AGD. W </w:t>
      </w:r>
      <w:r>
        <w:t xml:space="preserve">ujęciu ilościowym natomiast proporcja jest odwrotna – </w:t>
      </w:r>
      <w:r w:rsidRPr="00EA235E">
        <w:rPr>
          <w:spacing w:val="-2"/>
        </w:rPr>
        <w:t>rocznie w Polsce sprzedaje się 4 mln szt. dużego AGD, natomiast małego AGD 6 mln szt</w:t>
      </w:r>
      <w:r w:rsidR="00ED7814" w:rsidRPr="00EA235E">
        <w:rPr>
          <w:spacing w:val="-2"/>
        </w:rPr>
        <w:t>. [</w:t>
      </w:r>
      <w:r w:rsidR="00072469" w:rsidRPr="00072469">
        <w:rPr>
          <w:i/>
          <w:spacing w:val="-2"/>
        </w:rPr>
        <w:t>Branża</w:t>
      </w:r>
      <w:r w:rsidR="00072469">
        <w:rPr>
          <w:spacing w:val="-2"/>
        </w:rPr>
        <w:t xml:space="preserve"> </w:t>
      </w:r>
      <w:r w:rsidR="00072469" w:rsidRPr="00366C7A">
        <w:rPr>
          <w:i/>
        </w:rPr>
        <w:t>AGD…</w:t>
      </w:r>
      <w:r w:rsidR="00072469" w:rsidRPr="00366C7A">
        <w:t xml:space="preserve">, </w:t>
      </w:r>
      <w:r w:rsidR="00072469">
        <w:t xml:space="preserve">dostęp: </w:t>
      </w:r>
      <w:r w:rsidR="00072469" w:rsidRPr="00115336">
        <w:t>04.06.2014</w:t>
      </w:r>
      <w:r w:rsidR="00ED7814" w:rsidRPr="00EA235E">
        <w:rPr>
          <w:spacing w:val="-2"/>
        </w:rPr>
        <w:t>]</w:t>
      </w:r>
      <w:r w:rsidRPr="00EA235E">
        <w:rPr>
          <w:spacing w:val="-2"/>
        </w:rPr>
        <w:t>.</w:t>
      </w:r>
    </w:p>
    <w:p w:rsidR="00F04409" w:rsidRPr="00C97D5B" w:rsidRDefault="00F04409" w:rsidP="00F04409">
      <w:pPr>
        <w:pStyle w:val="FutureTekstpodstawowy"/>
        <w:rPr>
          <w:spacing w:val="-4"/>
        </w:rPr>
      </w:pPr>
      <w:r>
        <w:t>Globalna wielkość produkcji w polskich fabrykach wynosi 22 mln szt. d</w:t>
      </w:r>
      <w:r>
        <w:t>u</w:t>
      </w:r>
      <w:r>
        <w:t>żego i małego AGD łącznie, co oznacza, że znamienita część produkcji jest ek</w:t>
      </w:r>
      <w:r>
        <w:t>s</w:t>
      </w:r>
      <w:r>
        <w:t>portowana. Eksport stanowi znaczną część pr</w:t>
      </w:r>
      <w:r w:rsidR="00C97D5B">
        <w:t xml:space="preserve">zychodów dla polskich fabryk. </w:t>
      </w:r>
      <w:r w:rsidR="00C97D5B">
        <w:lastRenderedPageBreak/>
        <w:t>W </w:t>
      </w:r>
      <w:r>
        <w:t>2013 r. wyniósł on 14 mld zł w 2013 r. (w</w:t>
      </w:r>
      <w:r w:rsidR="00072469">
        <w:t>edłu</w:t>
      </w:r>
      <w:r>
        <w:t xml:space="preserve">g </w:t>
      </w:r>
      <w:proofErr w:type="spellStart"/>
      <w:r>
        <w:t>Eurostat</w:t>
      </w:r>
      <w:proofErr w:type="spellEnd"/>
      <w:r>
        <w:t xml:space="preserve">). </w:t>
      </w:r>
      <w:r w:rsidRPr="00C97D5B">
        <w:rPr>
          <w:spacing w:val="-4"/>
        </w:rPr>
        <w:t>Łącznie ze sprzed</w:t>
      </w:r>
      <w:r w:rsidRPr="00C97D5B">
        <w:rPr>
          <w:spacing w:val="-4"/>
        </w:rPr>
        <w:t>a</w:t>
      </w:r>
      <w:r w:rsidRPr="00C97D5B">
        <w:rPr>
          <w:spacing w:val="-4"/>
        </w:rPr>
        <w:t>żą krajową w 2013 r. (8 mld zł) daje to wielkość prod</w:t>
      </w:r>
      <w:r w:rsidR="00C97D5B" w:rsidRPr="00C97D5B">
        <w:rPr>
          <w:spacing w:val="-4"/>
        </w:rPr>
        <w:t>ukcji na poziomie ok</w:t>
      </w:r>
      <w:r w:rsidR="00072469">
        <w:rPr>
          <w:spacing w:val="-4"/>
        </w:rPr>
        <w:t>oło 22 </w:t>
      </w:r>
      <w:r w:rsidR="00C97D5B" w:rsidRPr="00C97D5B">
        <w:rPr>
          <w:spacing w:val="-4"/>
        </w:rPr>
        <w:t>mld zł</w:t>
      </w:r>
      <w:r w:rsidRPr="00C97D5B">
        <w:rPr>
          <w:spacing w:val="-4"/>
        </w:rPr>
        <w:t xml:space="preserve">. </w:t>
      </w:r>
    </w:p>
    <w:p w:rsidR="00F04409" w:rsidRDefault="00F04409" w:rsidP="00F04409">
      <w:pPr>
        <w:pStyle w:val="FutureTekstpodstawowy"/>
      </w:pPr>
      <w:r>
        <w:t>Silną pozycję Polski jako lidera w zakresie produkcji AGD potwierdzają również niezależni eksperci, analizujący rynek na potrzeby własne i swoich klientów. Takiej analizy dokonał zespół Biura Analiz Sektorowych BRE Banku</w:t>
      </w:r>
      <w:r w:rsidR="00ED7814">
        <w:t xml:space="preserve"> </w:t>
      </w:r>
      <w:r w:rsidR="00ED7814" w:rsidRPr="00C655E7">
        <w:t>[</w:t>
      </w:r>
      <w:r w:rsidR="00ED7814" w:rsidRPr="00366C7A">
        <w:rPr>
          <w:i/>
        </w:rPr>
        <w:t>Eksperci</w:t>
      </w:r>
      <w:r w:rsidR="00366C7A">
        <w:rPr>
          <w:i/>
        </w:rPr>
        <w:t xml:space="preserve"> BRE</w:t>
      </w:r>
      <w:r w:rsidR="00C655E7" w:rsidRPr="00C655E7">
        <w:rPr>
          <w:i/>
        </w:rPr>
        <w:t>…</w:t>
      </w:r>
      <w:r w:rsidR="00366C7A">
        <w:t>,</w:t>
      </w:r>
      <w:r w:rsidR="00366C7A" w:rsidRPr="00366C7A">
        <w:t xml:space="preserve"> </w:t>
      </w:r>
      <w:r w:rsidR="00366C7A">
        <w:t>dostęp: 04.06.2014</w:t>
      </w:r>
      <w:r w:rsidR="00ED7814" w:rsidRPr="00C655E7">
        <w:t>]</w:t>
      </w:r>
      <w:r>
        <w:t>. Eksperci wskazują, iż mimo stagnacji na rynku krajowym i dużej konkurencji ze strony producentów azjatyckich sektor AGD w Polsce wciąż pozostaje w stabilnej pozycji. Eksperci słusznie zauważ</w:t>
      </w:r>
      <w:r>
        <w:t>a</w:t>
      </w:r>
      <w:r>
        <w:t>ją, iż wzrost produkcji w polskich fabrykach odnotowuje tzw. duże AGD, nat</w:t>
      </w:r>
      <w:r>
        <w:t>o</w:t>
      </w:r>
      <w:r>
        <w:t>miast wolumen produkcji małego AGD spada. Jest to spowodowane względa</w:t>
      </w:r>
      <w:r w:rsidR="00C97D5B">
        <w:t xml:space="preserve">mi technicznymi i logistycznymi – </w:t>
      </w:r>
      <w:r>
        <w:t>małe AGD zna</w:t>
      </w:r>
      <w:r w:rsidR="00366C7A">
        <w:t>cznie łatwiej jest importować z </w:t>
      </w:r>
      <w:r>
        <w:t xml:space="preserve">krajów Dalekiego Wschodu (charakteryzuje się ono małymi gabarytami i tym samym małymi kosztami transportu). Tabela </w:t>
      </w:r>
      <w:r w:rsidRPr="00366C7A">
        <w:t>1</w:t>
      </w:r>
      <w:r>
        <w:t xml:space="preserve"> przedstawia wielkość produkcji poszczególnych grup produktowych w latach 2010</w:t>
      </w:r>
      <w:r w:rsidR="00C97D5B">
        <w:t>–</w:t>
      </w:r>
      <w:r>
        <w:t>2013 (dane GUS).</w:t>
      </w:r>
    </w:p>
    <w:p w:rsidR="00072469" w:rsidRDefault="00072469" w:rsidP="00F04409">
      <w:pPr>
        <w:pStyle w:val="FutureTekstpodstawowy"/>
      </w:pPr>
    </w:p>
    <w:p w:rsidR="00404B12" w:rsidRDefault="00404B12" w:rsidP="00404B12">
      <w:pPr>
        <w:pStyle w:val="FutureRysunekTabela"/>
        <w:rPr>
          <w:b/>
        </w:rPr>
      </w:pPr>
      <w:bookmarkStart w:id="0" w:name="_Toc394356668"/>
      <w:r w:rsidRPr="00B24FD6">
        <w:t>Tabela</w:t>
      </w:r>
      <w:r>
        <w:t xml:space="preserve"> </w:t>
      </w:r>
      <w:fldSimple w:instr=" SEQ Tabela \* ARABIC ">
        <w:r w:rsidRPr="00B24FD6">
          <w:rPr>
            <w:noProof/>
          </w:rPr>
          <w:t>1</w:t>
        </w:r>
      </w:fldSimple>
      <w:r>
        <w:t>.</w:t>
      </w:r>
      <w:r w:rsidRPr="00B24FD6">
        <w:t xml:space="preserve"> W</w:t>
      </w:r>
      <w:r>
        <w:t>ie</w:t>
      </w:r>
      <w:r w:rsidRPr="00B24FD6">
        <w:t>lk</w:t>
      </w:r>
      <w:r>
        <w:t>ość</w:t>
      </w:r>
      <w:r w:rsidRPr="00B24FD6">
        <w:t xml:space="preserve"> produkcji AGD </w:t>
      </w:r>
      <w:r>
        <w:t xml:space="preserve">w Polsce </w:t>
      </w:r>
      <w:r w:rsidRPr="00B24FD6">
        <w:t>w latach 2010</w:t>
      </w:r>
      <w:r w:rsidR="00C97D5B">
        <w:t>–</w:t>
      </w:r>
      <w:r w:rsidRPr="00B24FD6">
        <w:t>2013</w:t>
      </w:r>
      <w:bookmarkEnd w:id="0"/>
      <w:r w:rsidR="00621FA7">
        <w:t xml:space="preserve"> (tys. szt.)</w:t>
      </w:r>
    </w:p>
    <w:tbl>
      <w:tblPr>
        <w:tblW w:w="7144" w:type="dxa"/>
        <w:jc w:val="center"/>
        <w:tblCellMar>
          <w:left w:w="70" w:type="dxa"/>
          <w:right w:w="70" w:type="dxa"/>
        </w:tblCellMar>
        <w:tblLook w:val="04A0"/>
      </w:tblPr>
      <w:tblGrid>
        <w:gridCol w:w="3100"/>
        <w:gridCol w:w="849"/>
        <w:gridCol w:w="1065"/>
        <w:gridCol w:w="1065"/>
        <w:gridCol w:w="1065"/>
      </w:tblGrid>
      <w:tr w:rsidR="00404B12" w:rsidRPr="003356FD" w:rsidTr="00072469">
        <w:trPr>
          <w:cantSplit/>
          <w:trHeight w:val="284"/>
          <w:jc w:val="center"/>
        </w:trPr>
        <w:tc>
          <w:tcPr>
            <w:tcW w:w="2795" w:type="dxa"/>
            <w:tcBorders>
              <w:top w:val="single" w:sz="4" w:space="0" w:color="auto"/>
              <w:left w:val="single" w:sz="4" w:space="0" w:color="auto"/>
              <w:bottom w:val="double" w:sz="4" w:space="0" w:color="auto"/>
              <w:right w:val="single" w:sz="4" w:space="0" w:color="auto"/>
            </w:tcBorders>
            <w:shd w:val="clear" w:color="auto" w:fill="89B137"/>
            <w:noWrap/>
            <w:vAlign w:val="center"/>
            <w:hideMark/>
          </w:tcPr>
          <w:p w:rsidR="00404B12" w:rsidRPr="003356FD" w:rsidRDefault="00404B12" w:rsidP="00C97D5B">
            <w:pPr>
              <w:pStyle w:val="FutureTekstwtabeli"/>
              <w:jc w:val="center"/>
            </w:pPr>
            <w:r w:rsidRPr="003356FD">
              <w:t>Grupa produktowa</w:t>
            </w:r>
          </w:p>
        </w:tc>
        <w:tc>
          <w:tcPr>
            <w:tcW w:w="765" w:type="dxa"/>
            <w:tcBorders>
              <w:top w:val="single" w:sz="4" w:space="0" w:color="auto"/>
              <w:left w:val="nil"/>
              <w:bottom w:val="double" w:sz="4" w:space="0" w:color="auto"/>
              <w:right w:val="single" w:sz="4" w:space="0" w:color="auto"/>
            </w:tcBorders>
            <w:shd w:val="clear" w:color="auto" w:fill="89B137"/>
            <w:noWrap/>
            <w:vAlign w:val="center"/>
            <w:hideMark/>
          </w:tcPr>
          <w:p w:rsidR="00404B12" w:rsidRPr="003356FD" w:rsidRDefault="00404B12" w:rsidP="00C97D5B">
            <w:pPr>
              <w:pStyle w:val="FutureTekstwtabeli"/>
              <w:jc w:val="center"/>
            </w:pPr>
            <w:r w:rsidRPr="003356FD">
              <w:t>2010</w:t>
            </w:r>
          </w:p>
        </w:tc>
        <w:tc>
          <w:tcPr>
            <w:tcW w:w="960" w:type="dxa"/>
            <w:tcBorders>
              <w:top w:val="single" w:sz="4" w:space="0" w:color="auto"/>
              <w:left w:val="nil"/>
              <w:bottom w:val="double" w:sz="4" w:space="0" w:color="auto"/>
              <w:right w:val="single" w:sz="4" w:space="0" w:color="auto"/>
            </w:tcBorders>
            <w:shd w:val="clear" w:color="auto" w:fill="89B137"/>
            <w:noWrap/>
            <w:vAlign w:val="center"/>
            <w:hideMark/>
          </w:tcPr>
          <w:p w:rsidR="00404B12" w:rsidRPr="003356FD" w:rsidRDefault="00404B12" w:rsidP="00C97D5B">
            <w:pPr>
              <w:pStyle w:val="FutureTekstwtabeli"/>
              <w:jc w:val="center"/>
            </w:pPr>
            <w:r w:rsidRPr="003356FD">
              <w:t>2011</w:t>
            </w:r>
          </w:p>
        </w:tc>
        <w:tc>
          <w:tcPr>
            <w:tcW w:w="960" w:type="dxa"/>
            <w:tcBorders>
              <w:top w:val="single" w:sz="4" w:space="0" w:color="auto"/>
              <w:left w:val="nil"/>
              <w:bottom w:val="double" w:sz="4" w:space="0" w:color="auto"/>
              <w:right w:val="single" w:sz="4" w:space="0" w:color="auto"/>
            </w:tcBorders>
            <w:shd w:val="clear" w:color="auto" w:fill="89B137"/>
            <w:noWrap/>
            <w:vAlign w:val="center"/>
            <w:hideMark/>
          </w:tcPr>
          <w:p w:rsidR="00404B12" w:rsidRPr="003356FD" w:rsidRDefault="00404B12" w:rsidP="00C97D5B">
            <w:pPr>
              <w:pStyle w:val="FutureTekstwtabeli"/>
              <w:jc w:val="center"/>
            </w:pPr>
            <w:r w:rsidRPr="003356FD">
              <w:t>2012</w:t>
            </w:r>
          </w:p>
        </w:tc>
        <w:tc>
          <w:tcPr>
            <w:tcW w:w="960" w:type="dxa"/>
            <w:tcBorders>
              <w:top w:val="single" w:sz="4" w:space="0" w:color="auto"/>
              <w:left w:val="nil"/>
              <w:bottom w:val="double" w:sz="4" w:space="0" w:color="auto"/>
              <w:right w:val="single" w:sz="4" w:space="0" w:color="auto"/>
            </w:tcBorders>
            <w:shd w:val="clear" w:color="auto" w:fill="89B137"/>
            <w:noWrap/>
            <w:vAlign w:val="center"/>
            <w:hideMark/>
          </w:tcPr>
          <w:p w:rsidR="00404B12" w:rsidRPr="003356FD" w:rsidRDefault="00404B12" w:rsidP="00C97D5B">
            <w:pPr>
              <w:pStyle w:val="FutureTekstwtabeli"/>
              <w:jc w:val="center"/>
            </w:pPr>
            <w:r w:rsidRPr="003356FD">
              <w:t>2013</w:t>
            </w:r>
          </w:p>
        </w:tc>
      </w:tr>
      <w:tr w:rsidR="00404B12" w:rsidRPr="003356FD" w:rsidTr="00072469">
        <w:trPr>
          <w:cantSplit/>
          <w:trHeight w:val="227"/>
          <w:jc w:val="center"/>
        </w:trPr>
        <w:tc>
          <w:tcPr>
            <w:tcW w:w="2795" w:type="dxa"/>
            <w:tcBorders>
              <w:top w:val="double" w:sz="4" w:space="0" w:color="auto"/>
              <w:left w:val="single" w:sz="4" w:space="0" w:color="auto"/>
              <w:bottom w:val="dotted"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Chłodziarki i zamrażarki</w:t>
            </w:r>
          </w:p>
        </w:tc>
        <w:tc>
          <w:tcPr>
            <w:tcW w:w="765" w:type="dxa"/>
            <w:tcBorders>
              <w:top w:val="doub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867</w:t>
            </w:r>
          </w:p>
        </w:tc>
        <w:tc>
          <w:tcPr>
            <w:tcW w:w="960" w:type="dxa"/>
            <w:tcBorders>
              <w:top w:val="doub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748</w:t>
            </w:r>
          </w:p>
        </w:tc>
        <w:tc>
          <w:tcPr>
            <w:tcW w:w="960" w:type="dxa"/>
            <w:tcBorders>
              <w:top w:val="doub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2</w:t>
            </w:r>
            <w:r w:rsidR="00EA235E" w:rsidRPr="003356FD">
              <w:t> </w:t>
            </w:r>
            <w:r w:rsidRPr="003356FD">
              <w:t>218</w:t>
            </w:r>
          </w:p>
        </w:tc>
        <w:tc>
          <w:tcPr>
            <w:tcW w:w="960" w:type="dxa"/>
            <w:tcBorders>
              <w:top w:val="doub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2</w:t>
            </w:r>
            <w:r w:rsidR="00EA235E" w:rsidRPr="003356FD">
              <w:t> </w:t>
            </w:r>
            <w:r w:rsidRPr="003356FD">
              <w:t>886</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C97D5B" w:rsidP="00C97D5B">
            <w:pPr>
              <w:pStyle w:val="FutureTekstwtabeli"/>
              <w:jc w:val="center"/>
            </w:pPr>
            <w:r>
              <w:t>–</w:t>
            </w:r>
            <w:r w:rsidR="00404B12" w:rsidRPr="003356FD">
              <w:t>6%</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27%</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30%</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Zmywarki</w:t>
            </w:r>
          </w:p>
        </w:tc>
        <w:tc>
          <w:tcPr>
            <w:tcW w:w="765"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2</w:t>
            </w:r>
            <w:r w:rsidR="00EA235E" w:rsidRPr="003356FD">
              <w:t> </w:t>
            </w:r>
            <w:r w:rsidRPr="003356FD">
              <w:t>842</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2</w:t>
            </w:r>
            <w:r w:rsidR="00EA235E" w:rsidRPr="003356FD">
              <w:t> </w:t>
            </w:r>
            <w:r w:rsidRPr="003356FD">
              <w:t>967</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3</w:t>
            </w:r>
            <w:r w:rsidR="00EA235E" w:rsidRPr="003356FD">
              <w:t> </w:t>
            </w:r>
            <w:r w:rsidRPr="003356FD">
              <w:t>109</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3</w:t>
            </w:r>
            <w:r w:rsidR="00EA235E" w:rsidRPr="003356FD">
              <w:t> </w:t>
            </w:r>
            <w:r w:rsidRPr="003356FD">
              <w:t>471</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4%</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5%</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12%</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Pralki i pralko-suszarki</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4</w:t>
            </w:r>
            <w:r w:rsidR="00EA235E" w:rsidRPr="003356FD">
              <w:t> </w:t>
            </w:r>
            <w:r w:rsidRPr="003356FD">
              <w:t>046</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4</w:t>
            </w:r>
            <w:r w:rsidR="00EA235E" w:rsidRPr="003356FD">
              <w:t> </w:t>
            </w:r>
            <w:r w:rsidRPr="003356FD">
              <w:t>036</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4</w:t>
            </w:r>
            <w:r w:rsidR="00EA235E" w:rsidRPr="003356FD">
              <w:t> </w:t>
            </w:r>
            <w:r w:rsidRPr="003356FD">
              <w:t>953</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5</w:t>
            </w:r>
            <w:r w:rsidR="00EA235E" w:rsidRPr="003356FD">
              <w:t> </w:t>
            </w:r>
            <w:r w:rsidRPr="003356FD">
              <w:t>634</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0%</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23%</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14%</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Suszarki</w:t>
            </w:r>
          </w:p>
        </w:tc>
        <w:tc>
          <w:tcPr>
            <w:tcW w:w="765"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w:t>
            </w:r>
            <w:r w:rsidR="00EA235E" w:rsidRPr="003356FD">
              <w:t> </w:t>
            </w:r>
            <w:r w:rsidRPr="003356FD">
              <w:t>955</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w:t>
            </w:r>
            <w:r w:rsidR="00EA235E" w:rsidRPr="003356FD">
              <w:t> </w:t>
            </w:r>
            <w:r w:rsidRPr="003356FD">
              <w:t>877</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w:t>
            </w:r>
            <w:r w:rsidR="00EA235E" w:rsidRPr="003356FD">
              <w:t> </w:t>
            </w:r>
            <w:r w:rsidRPr="003356FD">
              <w:t>776</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w:t>
            </w:r>
            <w:r w:rsidR="00EA235E" w:rsidRPr="003356FD">
              <w:t> </w:t>
            </w:r>
            <w:r w:rsidRPr="003356FD">
              <w:t>837</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C97D5B" w:rsidP="00C97D5B">
            <w:pPr>
              <w:pStyle w:val="FutureTekstwtabeli"/>
              <w:jc w:val="center"/>
            </w:pPr>
            <w:r>
              <w:t>–</w:t>
            </w:r>
            <w:r w:rsidR="00404B12" w:rsidRPr="003356FD">
              <w:t>4%</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C97D5B" w:rsidP="00C97D5B">
            <w:pPr>
              <w:pStyle w:val="FutureTekstwtabeli"/>
              <w:jc w:val="center"/>
            </w:pPr>
            <w:r>
              <w:t>–</w:t>
            </w:r>
            <w:r w:rsidR="00404B12" w:rsidRPr="003356FD">
              <w:t>5%</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3%</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Kuchenki wolnostojące</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839</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2</w:t>
            </w:r>
            <w:r w:rsidR="00EA235E" w:rsidRPr="003356FD">
              <w:t> </w:t>
            </w:r>
            <w:r w:rsidRPr="003356FD">
              <w:t>057</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2</w:t>
            </w:r>
            <w:r w:rsidR="00EA235E" w:rsidRPr="003356FD">
              <w:t> </w:t>
            </w:r>
            <w:r w:rsidRPr="003356FD">
              <w:t>131</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947</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12%</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4%</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C97D5B" w:rsidP="00C97D5B">
            <w:pPr>
              <w:pStyle w:val="FutureTekstwtabeli"/>
              <w:jc w:val="center"/>
            </w:pPr>
            <w:r>
              <w:t>–</w:t>
            </w:r>
            <w:r w:rsidR="00404B12" w:rsidRPr="003356FD">
              <w:t>9%</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Elektryczne płyty kuchenne</w:t>
            </w:r>
          </w:p>
        </w:tc>
        <w:tc>
          <w:tcPr>
            <w:tcW w:w="765"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175</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235</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420</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465</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34%</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79%</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11%</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Piekarniki</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968</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087</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293</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350</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12%</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19%</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4%</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Duże AGD</w:t>
            </w:r>
          </w:p>
        </w:tc>
        <w:tc>
          <w:tcPr>
            <w:tcW w:w="765"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13</w:t>
            </w:r>
            <w:r w:rsidR="00EA235E" w:rsidRPr="003356FD">
              <w:t> </w:t>
            </w:r>
            <w:r w:rsidRPr="003356FD">
              <w:t>692</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14</w:t>
            </w:r>
            <w:r w:rsidR="00EA235E" w:rsidRPr="003356FD">
              <w:t> </w:t>
            </w:r>
            <w:r w:rsidRPr="003356FD">
              <w:t>007</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15</w:t>
            </w:r>
            <w:r w:rsidR="00EA235E" w:rsidRPr="003356FD">
              <w:t> </w:t>
            </w:r>
            <w:r w:rsidRPr="003356FD">
              <w:t>900</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17</w:t>
            </w:r>
            <w:r w:rsidR="00EA235E" w:rsidRPr="003356FD">
              <w:t> </w:t>
            </w:r>
            <w:r w:rsidRPr="003356FD">
              <w:t>590</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DBE7C3"/>
            <w:noWrap/>
            <w:vAlign w:val="center"/>
            <w:hideMark/>
          </w:tcPr>
          <w:p w:rsidR="00404B12" w:rsidRPr="006528B0" w:rsidRDefault="00404B12" w:rsidP="00404B12">
            <w:pPr>
              <w:pStyle w:val="FutureTekstwtabeli"/>
            </w:pPr>
            <w:r w:rsidRPr="006528B0">
              <w:t> </w:t>
            </w:r>
            <w:r>
              <w:t>z</w:t>
            </w:r>
            <w:r w:rsidRPr="006528B0">
              <w:t xml:space="preserve">miana </w:t>
            </w:r>
            <w:proofErr w:type="spellStart"/>
            <w:r w:rsidRPr="006528B0">
              <w:t>r</w:t>
            </w:r>
            <w:proofErr w:type="spellEnd"/>
            <w:r w:rsidRPr="006528B0">
              <w:t>/</w:t>
            </w:r>
            <w:proofErr w:type="spellStart"/>
            <w:r w:rsidRPr="006528B0">
              <w:t>r</w:t>
            </w:r>
            <w:proofErr w:type="spellEnd"/>
          </w:p>
        </w:tc>
        <w:tc>
          <w:tcPr>
            <w:tcW w:w="765"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0908C4" w:rsidRDefault="00404B12" w:rsidP="00C97D5B">
            <w:pPr>
              <w:pStyle w:val="FutureTekstwtabeli"/>
              <w:jc w:val="center"/>
            </w:pPr>
            <w:r w:rsidRPr="000908C4">
              <w:t>2%</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0908C4" w:rsidRDefault="00404B12" w:rsidP="00C97D5B">
            <w:pPr>
              <w:pStyle w:val="FutureTekstwtabeli"/>
              <w:jc w:val="center"/>
            </w:pPr>
            <w:r w:rsidRPr="000908C4">
              <w:t>14%</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0908C4" w:rsidRDefault="00404B12" w:rsidP="00C97D5B">
            <w:pPr>
              <w:pStyle w:val="FutureTekstwtabeli"/>
              <w:jc w:val="center"/>
            </w:pPr>
            <w:r w:rsidRPr="000908C4">
              <w:t>11%</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Odkurzacze</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892</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165</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1</w:t>
            </w:r>
            <w:r w:rsidR="00EA235E" w:rsidRPr="003356FD">
              <w:t> </w:t>
            </w:r>
            <w:r w:rsidRPr="003356FD">
              <w:t>068</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947</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31%</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C97D5B" w:rsidP="00C97D5B">
            <w:pPr>
              <w:pStyle w:val="FutureTekstwtabeli"/>
              <w:jc w:val="center"/>
            </w:pPr>
            <w:r>
              <w:t>–</w:t>
            </w:r>
            <w:r w:rsidR="00404B12" w:rsidRPr="003356FD">
              <w:t>8%</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C97D5B" w:rsidP="00C97D5B">
            <w:pPr>
              <w:pStyle w:val="FutureTekstwtabeli"/>
              <w:jc w:val="center"/>
            </w:pPr>
            <w:r>
              <w:t>–</w:t>
            </w:r>
            <w:r w:rsidR="00404B12" w:rsidRPr="003356FD">
              <w:t>11%</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Miksery, malaksery, roboty</w:t>
            </w:r>
          </w:p>
        </w:tc>
        <w:tc>
          <w:tcPr>
            <w:tcW w:w="765"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5</w:t>
            </w:r>
            <w:r w:rsidR="00EA235E" w:rsidRPr="003356FD">
              <w:t> </w:t>
            </w:r>
            <w:r w:rsidRPr="003356FD">
              <w:t>460</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5</w:t>
            </w:r>
            <w:r w:rsidR="00EA235E" w:rsidRPr="003356FD">
              <w:t> </w:t>
            </w:r>
            <w:r w:rsidRPr="003356FD">
              <w:t>494</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4</w:t>
            </w:r>
            <w:r w:rsidR="00EA235E" w:rsidRPr="003356FD">
              <w:t> </w:t>
            </w:r>
            <w:r w:rsidRPr="003356FD">
              <w:t>894</w:t>
            </w:r>
          </w:p>
        </w:tc>
        <w:tc>
          <w:tcPr>
            <w:tcW w:w="960" w:type="dxa"/>
            <w:tcBorders>
              <w:top w:val="single" w:sz="4" w:space="0" w:color="auto"/>
              <w:left w:val="nil"/>
              <w:bottom w:val="dotted"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4</w:t>
            </w:r>
            <w:r w:rsidR="00EA235E" w:rsidRPr="003356FD">
              <w:t> </w:t>
            </w:r>
            <w:r w:rsidRPr="003356FD">
              <w:t>541</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DBE7C3"/>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404B12" w:rsidP="00C97D5B">
            <w:pPr>
              <w:pStyle w:val="FutureTekstwtabeli"/>
              <w:jc w:val="center"/>
            </w:pPr>
            <w:r w:rsidRPr="003356FD">
              <w:t>1%</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C97D5B" w:rsidP="00C97D5B">
            <w:pPr>
              <w:pStyle w:val="FutureTekstwtabeli"/>
              <w:jc w:val="center"/>
            </w:pPr>
            <w:r>
              <w:t>–</w:t>
            </w:r>
            <w:r w:rsidR="00404B12" w:rsidRPr="003356FD">
              <w:t>11%</w:t>
            </w:r>
          </w:p>
        </w:tc>
        <w:tc>
          <w:tcPr>
            <w:tcW w:w="960" w:type="dxa"/>
            <w:tcBorders>
              <w:top w:val="dotted" w:sz="4" w:space="0" w:color="auto"/>
              <w:left w:val="nil"/>
              <w:bottom w:val="single" w:sz="4" w:space="0" w:color="auto"/>
              <w:right w:val="single" w:sz="4" w:space="0" w:color="auto"/>
            </w:tcBorders>
            <w:shd w:val="clear" w:color="auto" w:fill="DBE7C3"/>
            <w:noWrap/>
            <w:vAlign w:val="center"/>
            <w:hideMark/>
          </w:tcPr>
          <w:p w:rsidR="00404B12" w:rsidRPr="003356FD" w:rsidRDefault="00C97D5B" w:rsidP="00C97D5B">
            <w:pPr>
              <w:pStyle w:val="FutureTekstwtabeli"/>
              <w:jc w:val="center"/>
            </w:pPr>
            <w:r>
              <w:t>–</w:t>
            </w:r>
            <w:r w:rsidR="00404B12" w:rsidRPr="003356FD">
              <w:t>7%</w:t>
            </w:r>
          </w:p>
        </w:tc>
      </w:tr>
      <w:tr w:rsidR="00404B12" w:rsidRPr="003356FD" w:rsidTr="00072469">
        <w:trPr>
          <w:cantSplit/>
          <w:trHeight w:val="227"/>
          <w:jc w:val="center"/>
        </w:trPr>
        <w:tc>
          <w:tcPr>
            <w:tcW w:w="279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Małe AGD</w:t>
            </w:r>
          </w:p>
        </w:tc>
        <w:tc>
          <w:tcPr>
            <w:tcW w:w="765"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6</w:t>
            </w:r>
            <w:r w:rsidR="00EA235E" w:rsidRPr="003356FD">
              <w:t> </w:t>
            </w:r>
            <w:r w:rsidRPr="003356FD">
              <w:t>352</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6</w:t>
            </w:r>
            <w:r w:rsidR="00EA235E" w:rsidRPr="003356FD">
              <w:t> </w:t>
            </w:r>
            <w:r w:rsidRPr="003356FD">
              <w:t>659</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5</w:t>
            </w:r>
            <w:r w:rsidR="00EA235E" w:rsidRPr="003356FD">
              <w:t> </w:t>
            </w:r>
            <w:r w:rsidRPr="003356FD">
              <w:t>962</w:t>
            </w:r>
          </w:p>
        </w:tc>
        <w:tc>
          <w:tcPr>
            <w:tcW w:w="960" w:type="dxa"/>
            <w:tcBorders>
              <w:top w:val="single" w:sz="4" w:space="0" w:color="auto"/>
              <w:left w:val="nil"/>
              <w:bottom w:val="dotted"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r w:rsidRPr="003356FD">
              <w:t>5</w:t>
            </w:r>
            <w:r w:rsidR="00EA235E" w:rsidRPr="003356FD">
              <w:t> </w:t>
            </w:r>
            <w:r w:rsidRPr="003356FD">
              <w:t>488</w:t>
            </w:r>
          </w:p>
        </w:tc>
      </w:tr>
      <w:tr w:rsidR="00404B12" w:rsidRPr="003356FD" w:rsidTr="00072469">
        <w:trPr>
          <w:cantSplit/>
          <w:trHeight w:val="227"/>
          <w:jc w:val="center"/>
        </w:trPr>
        <w:tc>
          <w:tcPr>
            <w:tcW w:w="279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04B12" w:rsidRPr="003356FD" w:rsidRDefault="00404B12" w:rsidP="00404B12">
            <w:pPr>
              <w:pStyle w:val="FutureTekstwtabeli"/>
            </w:pPr>
            <w:r w:rsidRPr="003356FD">
              <w:t> </w:t>
            </w:r>
            <w:r>
              <w:t xml:space="preserve">zmiana </w:t>
            </w:r>
            <w:proofErr w:type="spellStart"/>
            <w:r>
              <w:t>r</w:t>
            </w:r>
            <w:proofErr w:type="spellEnd"/>
            <w:r>
              <w:t>/</w:t>
            </w:r>
            <w:proofErr w:type="spellStart"/>
            <w:r>
              <w:t>r</w:t>
            </w:r>
            <w:proofErr w:type="spellEnd"/>
          </w:p>
        </w:tc>
        <w:tc>
          <w:tcPr>
            <w:tcW w:w="765" w:type="dxa"/>
            <w:tcBorders>
              <w:top w:val="dotted" w:sz="4" w:space="0" w:color="auto"/>
              <w:left w:val="nil"/>
              <w:bottom w:val="single" w:sz="4" w:space="0" w:color="auto"/>
              <w:right w:val="single" w:sz="4" w:space="0" w:color="auto"/>
            </w:tcBorders>
            <w:shd w:val="clear" w:color="auto" w:fill="auto"/>
            <w:noWrap/>
            <w:vAlign w:val="center"/>
            <w:hideMark/>
          </w:tcPr>
          <w:p w:rsidR="00404B12" w:rsidRPr="003356FD" w:rsidRDefault="00404B12" w:rsidP="00C97D5B">
            <w:pPr>
              <w:pStyle w:val="FutureTekstwtabeli"/>
              <w:jc w:val="center"/>
            </w:pP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0908C4" w:rsidRDefault="00404B12" w:rsidP="00C97D5B">
            <w:pPr>
              <w:pStyle w:val="FutureTekstwtabeli"/>
              <w:jc w:val="center"/>
            </w:pPr>
            <w:r w:rsidRPr="000908C4">
              <w:t>5%</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0908C4" w:rsidRDefault="00C97D5B" w:rsidP="00C97D5B">
            <w:pPr>
              <w:pStyle w:val="FutureTekstwtabeli"/>
              <w:jc w:val="center"/>
            </w:pPr>
            <w:r>
              <w:t>–</w:t>
            </w:r>
            <w:r w:rsidR="00404B12" w:rsidRPr="000908C4">
              <w:t>10%</w:t>
            </w:r>
          </w:p>
        </w:tc>
        <w:tc>
          <w:tcPr>
            <w:tcW w:w="960" w:type="dxa"/>
            <w:tcBorders>
              <w:top w:val="dotted" w:sz="4" w:space="0" w:color="auto"/>
              <w:left w:val="nil"/>
              <w:bottom w:val="single" w:sz="4" w:space="0" w:color="auto"/>
              <w:right w:val="single" w:sz="4" w:space="0" w:color="auto"/>
            </w:tcBorders>
            <w:shd w:val="clear" w:color="auto" w:fill="auto"/>
            <w:noWrap/>
            <w:vAlign w:val="center"/>
            <w:hideMark/>
          </w:tcPr>
          <w:p w:rsidR="00404B12" w:rsidRPr="000908C4" w:rsidRDefault="00C97D5B" w:rsidP="00C97D5B">
            <w:pPr>
              <w:pStyle w:val="FutureTekstwtabeli"/>
              <w:jc w:val="center"/>
            </w:pPr>
            <w:r>
              <w:t>–</w:t>
            </w:r>
            <w:r w:rsidR="00404B12" w:rsidRPr="000908C4">
              <w:t>8%</w:t>
            </w:r>
          </w:p>
        </w:tc>
      </w:tr>
    </w:tbl>
    <w:p w:rsidR="00404B12" w:rsidRPr="00A556F6" w:rsidRDefault="00404B12" w:rsidP="00404B12">
      <w:pPr>
        <w:pStyle w:val="Futurerdo"/>
        <w:rPr>
          <w:b/>
        </w:rPr>
      </w:pPr>
      <w:r w:rsidRPr="00072469">
        <w:t xml:space="preserve">Źródło: </w:t>
      </w:r>
      <w:r w:rsidRPr="00072469">
        <w:rPr>
          <w:i/>
        </w:rPr>
        <w:t>Produkcja AGD w Polsce w 2013</w:t>
      </w:r>
      <w:r w:rsidR="00621FA7">
        <w:t>...:</w:t>
      </w:r>
      <w:r w:rsidRPr="00072469">
        <w:t xml:space="preserve"> 3</w:t>
      </w:r>
    </w:p>
    <w:p w:rsidR="00404B12" w:rsidRDefault="00404B12" w:rsidP="00F04409">
      <w:pPr>
        <w:pStyle w:val="FutureTekstpodstawowy"/>
      </w:pPr>
    </w:p>
    <w:p w:rsidR="00404B12" w:rsidRDefault="00404B12" w:rsidP="00404B12">
      <w:pPr>
        <w:pStyle w:val="FutureTekstpodstawowy"/>
      </w:pPr>
      <w:r w:rsidRPr="003356FD">
        <w:t>Dane GUS</w:t>
      </w:r>
      <w:r w:rsidR="00997F15">
        <w:t>-</w:t>
      </w:r>
      <w:r w:rsidRPr="003356FD">
        <w:t>u potwierdzają wnioski ekspertów BRE Banku. Produkcja m</w:t>
      </w:r>
      <w:r w:rsidRPr="003356FD">
        <w:t>a</w:t>
      </w:r>
      <w:r w:rsidRPr="003356FD">
        <w:t>łego AGD spada, jednocześnie dynamicznie rośnie</w:t>
      </w:r>
      <w:r>
        <w:t xml:space="preserve"> produkcja</w:t>
      </w:r>
      <w:r w:rsidRPr="003356FD">
        <w:t xml:space="preserve"> podgrup</w:t>
      </w:r>
      <w:r>
        <w:t>y</w:t>
      </w:r>
      <w:r w:rsidRPr="003356FD">
        <w:t xml:space="preserve"> produ</w:t>
      </w:r>
      <w:r w:rsidRPr="003356FD">
        <w:t>k</w:t>
      </w:r>
      <w:r w:rsidRPr="003356FD">
        <w:t>tow</w:t>
      </w:r>
      <w:r>
        <w:t>ej</w:t>
      </w:r>
      <w:r w:rsidRPr="003356FD">
        <w:t xml:space="preserve"> dużego AGD.</w:t>
      </w:r>
      <w:r>
        <w:t xml:space="preserve"> Eksperci wskazują również, że kraje azjatyckie charakter</w:t>
      </w:r>
      <w:r>
        <w:t>y</w:t>
      </w:r>
      <w:r>
        <w:t>zują się znacznie mniejszymi kosztami produk</w:t>
      </w:r>
      <w:r w:rsidR="00CE57D3">
        <w:t>cji (zwłaszcza siły roboczej) w </w:t>
      </w:r>
      <w:r>
        <w:t>przeciwieństwie do Polski; jednakże odbija się to na jakości tych produktów.</w:t>
      </w:r>
    </w:p>
    <w:p w:rsidR="00404B12" w:rsidRDefault="00404B12" w:rsidP="00404B12">
      <w:pPr>
        <w:pStyle w:val="FutureTekstpodstawowy"/>
      </w:pPr>
      <w:r>
        <w:t>CECED opublikował już raport na podstawie danych GUS</w:t>
      </w:r>
      <w:r w:rsidR="00997F15">
        <w:t>-</w:t>
      </w:r>
      <w:r>
        <w:t>u odnośnie wielkości produkcji AGD w pierwszych czterech miesiącach 2014 r.</w:t>
      </w:r>
    </w:p>
    <w:p w:rsidR="00621FA7" w:rsidRPr="00621FA7" w:rsidRDefault="00621FA7" w:rsidP="00404B12">
      <w:pPr>
        <w:pStyle w:val="FutureTekstpodstawowy"/>
        <w:rPr>
          <w:sz w:val="18"/>
        </w:rPr>
      </w:pPr>
    </w:p>
    <w:p w:rsidR="00404B12" w:rsidRPr="00B24FD6" w:rsidRDefault="00404B12" w:rsidP="00404B12">
      <w:pPr>
        <w:pStyle w:val="FutureRysunekTabela"/>
      </w:pPr>
      <w:r w:rsidRPr="00B24FD6">
        <w:t xml:space="preserve">Tabela </w:t>
      </w:r>
      <w:fldSimple w:instr=" SEQ Tabela \* ARABIC ">
        <w:r w:rsidRPr="00B24FD6">
          <w:rPr>
            <w:noProof/>
          </w:rPr>
          <w:t>2</w:t>
        </w:r>
      </w:fldSimple>
      <w:r w:rsidRPr="00B24FD6">
        <w:t>. W</w:t>
      </w:r>
      <w:r>
        <w:t>ie</w:t>
      </w:r>
      <w:r w:rsidRPr="00B24FD6">
        <w:t>lk</w:t>
      </w:r>
      <w:r>
        <w:t>ość</w:t>
      </w:r>
      <w:r w:rsidRPr="00B24FD6">
        <w:t xml:space="preserve"> </w:t>
      </w:r>
      <w:r>
        <w:t xml:space="preserve">produkcji  w Polsce w okresie </w:t>
      </w:r>
      <w:proofErr w:type="spellStart"/>
      <w:r>
        <w:t>I</w:t>
      </w:r>
      <w:r w:rsidR="00CE57D3">
        <w:t>–</w:t>
      </w:r>
      <w:r w:rsidR="00621FA7">
        <w:t>IV</w:t>
      </w:r>
      <w:proofErr w:type="spellEnd"/>
      <w:r w:rsidR="00621FA7">
        <w:t xml:space="preserve"> 2014 r.</w:t>
      </w:r>
    </w:p>
    <w:tbl>
      <w:tblPr>
        <w:tblW w:w="7144" w:type="dxa"/>
        <w:jc w:val="center"/>
        <w:tblCellMar>
          <w:left w:w="70" w:type="dxa"/>
          <w:right w:w="70" w:type="dxa"/>
        </w:tblCellMar>
        <w:tblLook w:val="04A0"/>
      </w:tblPr>
      <w:tblGrid>
        <w:gridCol w:w="3409"/>
        <w:gridCol w:w="1221"/>
        <w:gridCol w:w="1289"/>
        <w:gridCol w:w="1225"/>
      </w:tblGrid>
      <w:tr w:rsidR="00404B12" w:rsidRPr="003251EE" w:rsidTr="00621FA7">
        <w:trPr>
          <w:cantSplit/>
          <w:trHeight w:val="300"/>
          <w:jc w:val="center"/>
        </w:trPr>
        <w:tc>
          <w:tcPr>
            <w:tcW w:w="2883" w:type="dxa"/>
            <w:tcBorders>
              <w:top w:val="single" w:sz="4" w:space="0" w:color="auto"/>
              <w:left w:val="single" w:sz="4" w:space="0" w:color="auto"/>
              <w:bottom w:val="double" w:sz="4" w:space="0" w:color="auto"/>
              <w:right w:val="single" w:sz="4" w:space="0" w:color="auto"/>
            </w:tcBorders>
            <w:shd w:val="clear" w:color="auto" w:fill="89B137"/>
            <w:noWrap/>
            <w:vAlign w:val="center"/>
            <w:hideMark/>
          </w:tcPr>
          <w:p w:rsidR="00404B12" w:rsidRPr="003251EE" w:rsidRDefault="00404B12" w:rsidP="00CE57D3">
            <w:pPr>
              <w:pStyle w:val="FutureTekstwtabeli"/>
              <w:jc w:val="center"/>
            </w:pPr>
            <w:r w:rsidRPr="003251EE">
              <w:t>Grupa produktowa</w:t>
            </w:r>
            <w:r>
              <w:t xml:space="preserve"> (tys. szt.)</w:t>
            </w:r>
          </w:p>
        </w:tc>
        <w:tc>
          <w:tcPr>
            <w:tcW w:w="1033" w:type="dxa"/>
            <w:tcBorders>
              <w:top w:val="single" w:sz="4" w:space="0" w:color="auto"/>
              <w:left w:val="nil"/>
              <w:bottom w:val="double" w:sz="4" w:space="0" w:color="auto"/>
              <w:right w:val="single" w:sz="4" w:space="0" w:color="auto"/>
            </w:tcBorders>
            <w:shd w:val="clear" w:color="auto" w:fill="89B137"/>
            <w:noWrap/>
            <w:vAlign w:val="center"/>
            <w:hideMark/>
          </w:tcPr>
          <w:p w:rsidR="00404B12" w:rsidRPr="003251EE" w:rsidRDefault="00CE57D3" w:rsidP="00CE57D3">
            <w:pPr>
              <w:pStyle w:val="FutureTekstwtabeli"/>
              <w:jc w:val="center"/>
            </w:pPr>
            <w:proofErr w:type="spellStart"/>
            <w:r>
              <w:t>I–</w:t>
            </w:r>
            <w:r w:rsidR="00404B12" w:rsidRPr="003251EE">
              <w:t>IV</w:t>
            </w:r>
            <w:proofErr w:type="spellEnd"/>
            <w:r w:rsidR="00404B12" w:rsidRPr="003251EE">
              <w:t xml:space="preserve"> 2013</w:t>
            </w:r>
          </w:p>
        </w:tc>
        <w:tc>
          <w:tcPr>
            <w:tcW w:w="1090" w:type="dxa"/>
            <w:tcBorders>
              <w:top w:val="single" w:sz="4" w:space="0" w:color="auto"/>
              <w:left w:val="nil"/>
              <w:bottom w:val="double" w:sz="4" w:space="0" w:color="auto"/>
              <w:right w:val="single" w:sz="4" w:space="0" w:color="auto"/>
            </w:tcBorders>
            <w:shd w:val="clear" w:color="auto" w:fill="89B137"/>
            <w:noWrap/>
            <w:vAlign w:val="center"/>
            <w:hideMark/>
          </w:tcPr>
          <w:p w:rsidR="00404B12" w:rsidRPr="003251EE" w:rsidRDefault="00CE57D3" w:rsidP="00CE57D3">
            <w:pPr>
              <w:pStyle w:val="FutureTekstwtabeli"/>
              <w:jc w:val="center"/>
            </w:pPr>
            <w:proofErr w:type="spellStart"/>
            <w:r>
              <w:t>I–</w:t>
            </w:r>
            <w:r w:rsidR="00404B12" w:rsidRPr="003251EE">
              <w:t>IV</w:t>
            </w:r>
            <w:proofErr w:type="spellEnd"/>
            <w:r w:rsidR="00404B12" w:rsidRPr="003251EE">
              <w:t xml:space="preserve"> 2014</w:t>
            </w:r>
          </w:p>
        </w:tc>
        <w:tc>
          <w:tcPr>
            <w:tcW w:w="1036" w:type="dxa"/>
            <w:tcBorders>
              <w:top w:val="single" w:sz="4" w:space="0" w:color="auto"/>
              <w:left w:val="nil"/>
              <w:bottom w:val="double" w:sz="4" w:space="0" w:color="auto"/>
              <w:right w:val="single" w:sz="4" w:space="0" w:color="auto"/>
            </w:tcBorders>
            <w:shd w:val="clear" w:color="auto" w:fill="89B137"/>
            <w:noWrap/>
            <w:vAlign w:val="center"/>
            <w:hideMark/>
          </w:tcPr>
          <w:p w:rsidR="00404B12" w:rsidRPr="003251EE" w:rsidRDefault="00404B12" w:rsidP="00CE57D3">
            <w:pPr>
              <w:pStyle w:val="FutureTekstwtabeli"/>
              <w:jc w:val="center"/>
            </w:pPr>
            <w:r w:rsidRPr="003251EE">
              <w:t>dynamika</w:t>
            </w:r>
          </w:p>
        </w:tc>
      </w:tr>
      <w:tr w:rsidR="00404B12" w:rsidRPr="003251EE" w:rsidTr="00621FA7">
        <w:trPr>
          <w:cantSplit/>
          <w:trHeight w:val="227"/>
          <w:jc w:val="center"/>
        </w:trPr>
        <w:tc>
          <w:tcPr>
            <w:tcW w:w="288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04B12" w:rsidRPr="003251EE" w:rsidRDefault="00404B12" w:rsidP="00404B12">
            <w:pPr>
              <w:pStyle w:val="FutureTekstwtabeli"/>
            </w:pPr>
            <w:r w:rsidRPr="003251EE">
              <w:t>Chłodziarki i zamrażarki</w:t>
            </w:r>
          </w:p>
        </w:tc>
        <w:tc>
          <w:tcPr>
            <w:tcW w:w="1033" w:type="dxa"/>
            <w:tcBorders>
              <w:top w:val="double" w:sz="4" w:space="0" w:color="auto"/>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874</w:t>
            </w:r>
          </w:p>
        </w:tc>
        <w:tc>
          <w:tcPr>
            <w:tcW w:w="1090" w:type="dxa"/>
            <w:tcBorders>
              <w:top w:val="double" w:sz="4" w:space="0" w:color="auto"/>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925</w:t>
            </w:r>
          </w:p>
        </w:tc>
        <w:tc>
          <w:tcPr>
            <w:tcW w:w="1036" w:type="dxa"/>
            <w:tcBorders>
              <w:top w:val="double" w:sz="4" w:space="0" w:color="auto"/>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6%</w:t>
            </w:r>
          </w:p>
        </w:tc>
      </w:tr>
      <w:tr w:rsidR="00404B12" w:rsidRPr="003251EE" w:rsidTr="00621FA7">
        <w:trPr>
          <w:cantSplit/>
          <w:trHeight w:val="227"/>
          <w:jc w:val="center"/>
        </w:trPr>
        <w:tc>
          <w:tcPr>
            <w:tcW w:w="2883"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404B12" w:rsidRPr="003251EE" w:rsidRDefault="00404B12" w:rsidP="00404B12">
            <w:pPr>
              <w:pStyle w:val="FutureTekstwtabeli"/>
            </w:pPr>
            <w:r w:rsidRPr="003251EE">
              <w:t>Zmywarki</w:t>
            </w:r>
          </w:p>
        </w:tc>
        <w:tc>
          <w:tcPr>
            <w:tcW w:w="1033"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1</w:t>
            </w:r>
            <w:r w:rsidR="00EA235E" w:rsidRPr="003356FD">
              <w:t> </w:t>
            </w:r>
            <w:r w:rsidRPr="003251EE">
              <w:t>100</w:t>
            </w:r>
          </w:p>
        </w:tc>
        <w:tc>
          <w:tcPr>
            <w:tcW w:w="1090"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1</w:t>
            </w:r>
            <w:r w:rsidR="00EA235E" w:rsidRPr="003356FD">
              <w:t> </w:t>
            </w:r>
            <w:r w:rsidRPr="003251EE">
              <w:t>182</w:t>
            </w:r>
          </w:p>
        </w:tc>
        <w:tc>
          <w:tcPr>
            <w:tcW w:w="1036"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7%</w:t>
            </w:r>
          </w:p>
        </w:tc>
      </w:tr>
      <w:tr w:rsidR="00404B12" w:rsidRPr="003251EE" w:rsidTr="00621FA7">
        <w:trPr>
          <w:cantSplit/>
          <w:trHeight w:val="227"/>
          <w:jc w:val="center"/>
        </w:trPr>
        <w:tc>
          <w:tcPr>
            <w:tcW w:w="2883" w:type="dxa"/>
            <w:tcBorders>
              <w:top w:val="nil"/>
              <w:left w:val="single" w:sz="4" w:space="0" w:color="auto"/>
              <w:bottom w:val="single" w:sz="4" w:space="0" w:color="auto"/>
              <w:right w:val="single" w:sz="4" w:space="0" w:color="auto"/>
            </w:tcBorders>
            <w:shd w:val="clear" w:color="auto" w:fill="auto"/>
            <w:noWrap/>
            <w:vAlign w:val="center"/>
            <w:hideMark/>
          </w:tcPr>
          <w:p w:rsidR="00404B12" w:rsidRPr="003251EE" w:rsidRDefault="00404B12" w:rsidP="00404B12">
            <w:pPr>
              <w:pStyle w:val="FutureTekstwtabeli"/>
            </w:pPr>
            <w:r w:rsidRPr="003251EE">
              <w:t>Pralki i pralko-suszarki</w:t>
            </w:r>
          </w:p>
        </w:tc>
        <w:tc>
          <w:tcPr>
            <w:tcW w:w="1033"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1</w:t>
            </w:r>
            <w:r w:rsidR="00EA235E" w:rsidRPr="003356FD">
              <w:t> </w:t>
            </w:r>
            <w:r w:rsidRPr="003251EE">
              <w:t>727</w:t>
            </w:r>
          </w:p>
        </w:tc>
        <w:tc>
          <w:tcPr>
            <w:tcW w:w="1090"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1</w:t>
            </w:r>
            <w:r w:rsidR="00EA235E" w:rsidRPr="003356FD">
              <w:t> </w:t>
            </w:r>
            <w:r w:rsidRPr="003251EE">
              <w:t>993</w:t>
            </w:r>
          </w:p>
        </w:tc>
        <w:tc>
          <w:tcPr>
            <w:tcW w:w="1036"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15%</w:t>
            </w:r>
          </w:p>
        </w:tc>
      </w:tr>
      <w:tr w:rsidR="00404B12" w:rsidRPr="003251EE" w:rsidTr="00621FA7">
        <w:trPr>
          <w:cantSplit/>
          <w:trHeight w:val="227"/>
          <w:jc w:val="center"/>
        </w:trPr>
        <w:tc>
          <w:tcPr>
            <w:tcW w:w="2883"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404B12" w:rsidRPr="003251EE" w:rsidRDefault="00404B12" w:rsidP="00404B12">
            <w:pPr>
              <w:pStyle w:val="FutureTekstwtabeli"/>
            </w:pPr>
            <w:r w:rsidRPr="003251EE">
              <w:t>Suszarki</w:t>
            </w:r>
          </w:p>
        </w:tc>
        <w:tc>
          <w:tcPr>
            <w:tcW w:w="1033"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512</w:t>
            </w:r>
          </w:p>
        </w:tc>
        <w:tc>
          <w:tcPr>
            <w:tcW w:w="1090"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565</w:t>
            </w:r>
          </w:p>
        </w:tc>
        <w:tc>
          <w:tcPr>
            <w:tcW w:w="1036"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10%</w:t>
            </w:r>
          </w:p>
        </w:tc>
      </w:tr>
      <w:tr w:rsidR="00404B12" w:rsidRPr="003251EE" w:rsidTr="00621FA7">
        <w:trPr>
          <w:cantSplit/>
          <w:trHeight w:val="227"/>
          <w:jc w:val="center"/>
        </w:trPr>
        <w:tc>
          <w:tcPr>
            <w:tcW w:w="2883" w:type="dxa"/>
            <w:tcBorders>
              <w:top w:val="nil"/>
              <w:left w:val="single" w:sz="4" w:space="0" w:color="auto"/>
              <w:bottom w:val="single" w:sz="4" w:space="0" w:color="auto"/>
              <w:right w:val="single" w:sz="4" w:space="0" w:color="auto"/>
            </w:tcBorders>
            <w:shd w:val="clear" w:color="auto" w:fill="auto"/>
            <w:noWrap/>
            <w:vAlign w:val="center"/>
            <w:hideMark/>
          </w:tcPr>
          <w:p w:rsidR="00404B12" w:rsidRPr="003251EE" w:rsidRDefault="00404B12" w:rsidP="00404B12">
            <w:pPr>
              <w:pStyle w:val="FutureTekstwtabeli"/>
            </w:pPr>
            <w:r w:rsidRPr="003251EE">
              <w:t>Kuchenki wolnostojące</w:t>
            </w:r>
          </w:p>
        </w:tc>
        <w:tc>
          <w:tcPr>
            <w:tcW w:w="1033"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673</w:t>
            </w:r>
          </w:p>
        </w:tc>
        <w:tc>
          <w:tcPr>
            <w:tcW w:w="1090"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662</w:t>
            </w:r>
          </w:p>
        </w:tc>
        <w:tc>
          <w:tcPr>
            <w:tcW w:w="1036" w:type="dxa"/>
            <w:tcBorders>
              <w:top w:val="nil"/>
              <w:left w:val="nil"/>
              <w:bottom w:val="single" w:sz="4" w:space="0" w:color="auto"/>
              <w:right w:val="single" w:sz="4" w:space="0" w:color="auto"/>
            </w:tcBorders>
            <w:shd w:val="clear" w:color="auto" w:fill="auto"/>
            <w:noWrap/>
            <w:vAlign w:val="center"/>
            <w:hideMark/>
          </w:tcPr>
          <w:p w:rsidR="00404B12" w:rsidRPr="003251EE" w:rsidRDefault="00CE57D3" w:rsidP="00CE57D3">
            <w:pPr>
              <w:pStyle w:val="FutureTekstwtabeli"/>
              <w:jc w:val="center"/>
            </w:pPr>
            <w:r>
              <w:t>–</w:t>
            </w:r>
            <w:r w:rsidR="00404B12" w:rsidRPr="003251EE">
              <w:t>2%</w:t>
            </w:r>
          </w:p>
        </w:tc>
      </w:tr>
      <w:tr w:rsidR="00404B12" w:rsidRPr="003251EE" w:rsidTr="00621FA7">
        <w:trPr>
          <w:cantSplit/>
          <w:trHeight w:val="227"/>
          <w:jc w:val="center"/>
        </w:trPr>
        <w:tc>
          <w:tcPr>
            <w:tcW w:w="2883"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404B12" w:rsidRPr="003251EE" w:rsidRDefault="00404B12" w:rsidP="00404B12">
            <w:pPr>
              <w:pStyle w:val="FutureTekstwtabeli"/>
            </w:pPr>
            <w:r w:rsidRPr="003251EE">
              <w:t>Elektryczne płyty kuchenne</w:t>
            </w:r>
          </w:p>
        </w:tc>
        <w:tc>
          <w:tcPr>
            <w:tcW w:w="1033"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159</w:t>
            </w:r>
          </w:p>
        </w:tc>
        <w:tc>
          <w:tcPr>
            <w:tcW w:w="1090"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145</w:t>
            </w:r>
          </w:p>
        </w:tc>
        <w:tc>
          <w:tcPr>
            <w:tcW w:w="1036"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CE57D3" w:rsidP="00CE57D3">
            <w:pPr>
              <w:pStyle w:val="FutureTekstwtabeli"/>
              <w:jc w:val="center"/>
            </w:pPr>
            <w:r>
              <w:t>–</w:t>
            </w:r>
            <w:r w:rsidR="00404B12" w:rsidRPr="003251EE">
              <w:t>9%</w:t>
            </w:r>
          </w:p>
        </w:tc>
      </w:tr>
      <w:tr w:rsidR="00404B12" w:rsidRPr="003251EE" w:rsidTr="00621FA7">
        <w:trPr>
          <w:cantSplit/>
          <w:trHeight w:val="227"/>
          <w:jc w:val="center"/>
        </w:trPr>
        <w:tc>
          <w:tcPr>
            <w:tcW w:w="2883" w:type="dxa"/>
            <w:tcBorders>
              <w:top w:val="nil"/>
              <w:left w:val="single" w:sz="4" w:space="0" w:color="auto"/>
              <w:bottom w:val="single" w:sz="4" w:space="0" w:color="auto"/>
              <w:right w:val="single" w:sz="4" w:space="0" w:color="auto"/>
            </w:tcBorders>
            <w:shd w:val="clear" w:color="auto" w:fill="auto"/>
            <w:noWrap/>
            <w:vAlign w:val="center"/>
            <w:hideMark/>
          </w:tcPr>
          <w:p w:rsidR="00404B12" w:rsidRPr="003251EE" w:rsidRDefault="00404B12" w:rsidP="00404B12">
            <w:pPr>
              <w:pStyle w:val="FutureTekstwtabeli"/>
            </w:pPr>
            <w:r w:rsidRPr="003251EE">
              <w:t>Piekarniki</w:t>
            </w:r>
          </w:p>
        </w:tc>
        <w:tc>
          <w:tcPr>
            <w:tcW w:w="1033"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506</w:t>
            </w:r>
          </w:p>
        </w:tc>
        <w:tc>
          <w:tcPr>
            <w:tcW w:w="1090"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637</w:t>
            </w:r>
          </w:p>
        </w:tc>
        <w:tc>
          <w:tcPr>
            <w:tcW w:w="1036"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26%</w:t>
            </w:r>
          </w:p>
        </w:tc>
      </w:tr>
      <w:tr w:rsidR="00404B12" w:rsidRPr="003251EE" w:rsidTr="00621FA7">
        <w:trPr>
          <w:cantSplit/>
          <w:trHeight w:val="227"/>
          <w:jc w:val="center"/>
        </w:trPr>
        <w:tc>
          <w:tcPr>
            <w:tcW w:w="2883"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404B12" w:rsidRPr="003251EE" w:rsidRDefault="00404B12" w:rsidP="00404B12">
            <w:pPr>
              <w:pStyle w:val="FutureTekstwtabeli"/>
            </w:pPr>
            <w:r w:rsidRPr="003251EE">
              <w:t>Duże AGD</w:t>
            </w:r>
          </w:p>
        </w:tc>
        <w:tc>
          <w:tcPr>
            <w:tcW w:w="1033"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5</w:t>
            </w:r>
            <w:r w:rsidR="00EA235E" w:rsidRPr="003356FD">
              <w:t> </w:t>
            </w:r>
            <w:r w:rsidRPr="003251EE">
              <w:t>551</w:t>
            </w:r>
          </w:p>
        </w:tc>
        <w:tc>
          <w:tcPr>
            <w:tcW w:w="1090"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6</w:t>
            </w:r>
            <w:r w:rsidR="004F7DFF" w:rsidRPr="003356FD">
              <w:t> </w:t>
            </w:r>
            <w:r w:rsidRPr="003251EE">
              <w:t>109</w:t>
            </w:r>
          </w:p>
        </w:tc>
        <w:tc>
          <w:tcPr>
            <w:tcW w:w="1036"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0908C4" w:rsidRDefault="00404B12" w:rsidP="00CE57D3">
            <w:pPr>
              <w:pStyle w:val="FutureTekstwtabeli"/>
              <w:jc w:val="center"/>
            </w:pPr>
            <w:r w:rsidRPr="000908C4">
              <w:t>10%</w:t>
            </w:r>
          </w:p>
        </w:tc>
      </w:tr>
      <w:tr w:rsidR="00404B12" w:rsidRPr="003251EE" w:rsidTr="00621FA7">
        <w:trPr>
          <w:cantSplit/>
          <w:trHeight w:val="227"/>
          <w:jc w:val="center"/>
        </w:trPr>
        <w:tc>
          <w:tcPr>
            <w:tcW w:w="2883" w:type="dxa"/>
            <w:tcBorders>
              <w:top w:val="nil"/>
              <w:left w:val="single" w:sz="4" w:space="0" w:color="auto"/>
              <w:bottom w:val="single" w:sz="4" w:space="0" w:color="auto"/>
              <w:right w:val="single" w:sz="4" w:space="0" w:color="auto"/>
            </w:tcBorders>
            <w:shd w:val="clear" w:color="auto" w:fill="auto"/>
            <w:noWrap/>
            <w:vAlign w:val="center"/>
            <w:hideMark/>
          </w:tcPr>
          <w:p w:rsidR="00404B12" w:rsidRPr="003251EE" w:rsidRDefault="00404B12" w:rsidP="00404B12">
            <w:pPr>
              <w:pStyle w:val="FutureTekstwtabeli"/>
            </w:pPr>
            <w:r w:rsidRPr="003251EE">
              <w:t>Odkurzacze</w:t>
            </w:r>
          </w:p>
        </w:tc>
        <w:tc>
          <w:tcPr>
            <w:tcW w:w="1033"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283</w:t>
            </w:r>
          </w:p>
        </w:tc>
        <w:tc>
          <w:tcPr>
            <w:tcW w:w="1090"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314</w:t>
            </w:r>
          </w:p>
        </w:tc>
        <w:tc>
          <w:tcPr>
            <w:tcW w:w="1036" w:type="dxa"/>
            <w:tcBorders>
              <w:top w:val="nil"/>
              <w:left w:val="nil"/>
              <w:bottom w:val="single" w:sz="4" w:space="0" w:color="auto"/>
              <w:right w:val="single" w:sz="4" w:space="0" w:color="auto"/>
            </w:tcBorders>
            <w:shd w:val="clear" w:color="auto" w:fill="auto"/>
            <w:noWrap/>
            <w:vAlign w:val="center"/>
            <w:hideMark/>
          </w:tcPr>
          <w:p w:rsidR="00404B12" w:rsidRPr="000908C4" w:rsidRDefault="00404B12" w:rsidP="00CE57D3">
            <w:pPr>
              <w:pStyle w:val="FutureTekstwtabeli"/>
              <w:jc w:val="center"/>
            </w:pPr>
            <w:r w:rsidRPr="000908C4">
              <w:t>11%</w:t>
            </w:r>
          </w:p>
        </w:tc>
      </w:tr>
      <w:tr w:rsidR="00404B12" w:rsidRPr="003251EE" w:rsidTr="00621FA7">
        <w:trPr>
          <w:cantSplit/>
          <w:trHeight w:val="227"/>
          <w:jc w:val="center"/>
        </w:trPr>
        <w:tc>
          <w:tcPr>
            <w:tcW w:w="2883"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404B12" w:rsidRPr="003251EE" w:rsidRDefault="00404B12" w:rsidP="00404B12">
            <w:pPr>
              <w:pStyle w:val="FutureTekstwtabeli"/>
            </w:pPr>
            <w:r w:rsidRPr="003251EE">
              <w:t>Miksery, malaksery, roboty</w:t>
            </w:r>
          </w:p>
        </w:tc>
        <w:tc>
          <w:tcPr>
            <w:tcW w:w="1033"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1</w:t>
            </w:r>
            <w:r w:rsidR="00EA235E" w:rsidRPr="003356FD">
              <w:t> </w:t>
            </w:r>
            <w:r w:rsidRPr="003251EE">
              <w:t>638</w:t>
            </w:r>
          </w:p>
        </w:tc>
        <w:tc>
          <w:tcPr>
            <w:tcW w:w="1090"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3251EE" w:rsidRDefault="00404B12" w:rsidP="00CE57D3">
            <w:pPr>
              <w:pStyle w:val="FutureTekstwtabeli"/>
              <w:jc w:val="center"/>
            </w:pPr>
            <w:r w:rsidRPr="003251EE">
              <w:t>1</w:t>
            </w:r>
            <w:r w:rsidR="004F7DFF" w:rsidRPr="003356FD">
              <w:t> </w:t>
            </w:r>
            <w:r w:rsidRPr="003251EE">
              <w:t>727</w:t>
            </w:r>
          </w:p>
        </w:tc>
        <w:tc>
          <w:tcPr>
            <w:tcW w:w="1036" w:type="dxa"/>
            <w:tcBorders>
              <w:top w:val="single" w:sz="4" w:space="0" w:color="auto"/>
              <w:left w:val="nil"/>
              <w:bottom w:val="single" w:sz="4" w:space="0" w:color="auto"/>
              <w:right w:val="single" w:sz="4" w:space="0" w:color="auto"/>
            </w:tcBorders>
            <w:shd w:val="clear" w:color="auto" w:fill="DBE7C3"/>
            <w:noWrap/>
            <w:vAlign w:val="center"/>
            <w:hideMark/>
          </w:tcPr>
          <w:p w:rsidR="00404B12" w:rsidRPr="000908C4" w:rsidRDefault="00404B12" w:rsidP="00CE57D3">
            <w:pPr>
              <w:pStyle w:val="FutureTekstwtabeli"/>
              <w:jc w:val="center"/>
            </w:pPr>
            <w:r w:rsidRPr="000908C4">
              <w:t>5%</w:t>
            </w:r>
          </w:p>
        </w:tc>
      </w:tr>
      <w:tr w:rsidR="00404B12" w:rsidRPr="003251EE" w:rsidTr="00621FA7">
        <w:trPr>
          <w:cantSplit/>
          <w:trHeight w:val="227"/>
          <w:jc w:val="center"/>
        </w:trPr>
        <w:tc>
          <w:tcPr>
            <w:tcW w:w="2883" w:type="dxa"/>
            <w:tcBorders>
              <w:top w:val="nil"/>
              <w:left w:val="single" w:sz="4" w:space="0" w:color="auto"/>
              <w:bottom w:val="single" w:sz="4" w:space="0" w:color="auto"/>
              <w:right w:val="single" w:sz="4" w:space="0" w:color="auto"/>
            </w:tcBorders>
            <w:shd w:val="clear" w:color="auto" w:fill="auto"/>
            <w:noWrap/>
            <w:vAlign w:val="center"/>
            <w:hideMark/>
          </w:tcPr>
          <w:p w:rsidR="00404B12" w:rsidRPr="003251EE" w:rsidRDefault="00404B12" w:rsidP="00404B12">
            <w:pPr>
              <w:pStyle w:val="FutureTekstwtabeli"/>
            </w:pPr>
            <w:r w:rsidRPr="003251EE">
              <w:t>Małe AGD</w:t>
            </w:r>
          </w:p>
        </w:tc>
        <w:tc>
          <w:tcPr>
            <w:tcW w:w="1033"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1</w:t>
            </w:r>
            <w:r w:rsidR="00EA235E" w:rsidRPr="003356FD">
              <w:t> </w:t>
            </w:r>
            <w:r w:rsidRPr="003251EE">
              <w:t>921</w:t>
            </w:r>
          </w:p>
        </w:tc>
        <w:tc>
          <w:tcPr>
            <w:tcW w:w="1090" w:type="dxa"/>
            <w:tcBorders>
              <w:top w:val="nil"/>
              <w:left w:val="nil"/>
              <w:bottom w:val="single" w:sz="4" w:space="0" w:color="auto"/>
              <w:right w:val="single" w:sz="4" w:space="0" w:color="auto"/>
            </w:tcBorders>
            <w:shd w:val="clear" w:color="auto" w:fill="auto"/>
            <w:noWrap/>
            <w:vAlign w:val="center"/>
            <w:hideMark/>
          </w:tcPr>
          <w:p w:rsidR="00404B12" w:rsidRPr="003251EE" w:rsidRDefault="00404B12" w:rsidP="00CE57D3">
            <w:pPr>
              <w:pStyle w:val="FutureTekstwtabeli"/>
              <w:jc w:val="center"/>
            </w:pPr>
            <w:r w:rsidRPr="003251EE">
              <w:t>2</w:t>
            </w:r>
            <w:r w:rsidR="004F7DFF" w:rsidRPr="003356FD">
              <w:t> </w:t>
            </w:r>
            <w:r w:rsidRPr="003251EE">
              <w:t>041</w:t>
            </w:r>
          </w:p>
        </w:tc>
        <w:tc>
          <w:tcPr>
            <w:tcW w:w="1036" w:type="dxa"/>
            <w:tcBorders>
              <w:top w:val="nil"/>
              <w:left w:val="nil"/>
              <w:bottom w:val="single" w:sz="4" w:space="0" w:color="auto"/>
              <w:right w:val="single" w:sz="4" w:space="0" w:color="auto"/>
            </w:tcBorders>
            <w:shd w:val="clear" w:color="auto" w:fill="auto"/>
            <w:noWrap/>
            <w:vAlign w:val="center"/>
            <w:hideMark/>
          </w:tcPr>
          <w:p w:rsidR="00404B12" w:rsidRPr="000908C4" w:rsidRDefault="00404B12" w:rsidP="00CE57D3">
            <w:pPr>
              <w:pStyle w:val="FutureTekstwtabeli"/>
              <w:jc w:val="center"/>
            </w:pPr>
            <w:r w:rsidRPr="000908C4">
              <w:t>6%</w:t>
            </w:r>
          </w:p>
        </w:tc>
      </w:tr>
    </w:tbl>
    <w:p w:rsidR="00404B12" w:rsidRPr="00A556F6" w:rsidRDefault="00404B12" w:rsidP="00404B12">
      <w:pPr>
        <w:pStyle w:val="Futurerdo"/>
        <w:rPr>
          <w:b/>
        </w:rPr>
      </w:pPr>
      <w:bookmarkStart w:id="1" w:name="_Toc394356669"/>
      <w:r>
        <w:t xml:space="preserve">Źródło: </w:t>
      </w:r>
      <w:r w:rsidR="00621FA7">
        <w:t>o</w:t>
      </w:r>
      <w:r>
        <w:t>pracowanie własne na podst</w:t>
      </w:r>
      <w:r w:rsidR="00264B9C">
        <w:t>awie</w:t>
      </w:r>
      <w:r w:rsidRPr="00621FA7">
        <w:t>:</w:t>
      </w:r>
      <w:r w:rsidR="004F7DFF" w:rsidRPr="00621FA7">
        <w:t xml:space="preserve"> </w:t>
      </w:r>
      <w:r w:rsidR="004F7DFF" w:rsidRPr="00621FA7">
        <w:rPr>
          <w:i/>
        </w:rPr>
        <w:t xml:space="preserve">Produkcja AGD w Polsce </w:t>
      </w:r>
      <w:proofErr w:type="spellStart"/>
      <w:r w:rsidR="004F7DFF" w:rsidRPr="00621FA7">
        <w:rPr>
          <w:i/>
        </w:rPr>
        <w:t>I–</w:t>
      </w:r>
      <w:r w:rsidRPr="00621FA7">
        <w:rPr>
          <w:i/>
        </w:rPr>
        <w:t>IV</w:t>
      </w:r>
      <w:proofErr w:type="spellEnd"/>
      <w:r w:rsidRPr="00621FA7">
        <w:rPr>
          <w:i/>
        </w:rPr>
        <w:t xml:space="preserve"> 2014</w:t>
      </w:r>
      <w:r w:rsidR="00621FA7" w:rsidRPr="00621FA7">
        <w:rPr>
          <w:i/>
        </w:rPr>
        <w:t>...</w:t>
      </w:r>
      <w:bookmarkEnd w:id="1"/>
    </w:p>
    <w:p w:rsidR="00404B12" w:rsidRPr="00621FA7" w:rsidRDefault="00404B12" w:rsidP="00404B12">
      <w:pPr>
        <w:pStyle w:val="FutureTekstpodstawowy"/>
        <w:ind w:firstLine="0"/>
      </w:pPr>
    </w:p>
    <w:p w:rsidR="008843FC" w:rsidRPr="004F7DFF" w:rsidRDefault="008843FC" w:rsidP="008843FC">
      <w:pPr>
        <w:pStyle w:val="FutureTekstpodstawowy"/>
        <w:rPr>
          <w:spacing w:val="-2"/>
        </w:rPr>
      </w:pPr>
      <w:r>
        <w:t>W porównaniu z analogicznym okresem w 2013 r. produkcja sektora AGD w Polsce odnotowała wzrost. Znamienitą większość produkcji wciąż stanowi tzw. duże AGD – spadek odnotowały jedynie kuchenki wolnostojące i ele</w:t>
      </w:r>
      <w:r>
        <w:t>k</w:t>
      </w:r>
      <w:r>
        <w:t>tryczne płyty kuchenne. Duży wzrost odnotowały piekarniki i pralki. Mimo iż małe AGD stanowi mniejszą cześć produkcji, udało się w tej podgrupie produ</w:t>
      </w:r>
      <w:r>
        <w:t>k</w:t>
      </w:r>
      <w:r>
        <w:t>tów również wypracować łączny wzrost 6% (w tym 11% wzrost produkcji odk</w:t>
      </w:r>
      <w:r>
        <w:t>u</w:t>
      </w:r>
      <w:r>
        <w:t>rzaczy). Przez obserwatorów wymienione wartości wzrostu produkcji małego AGD są jednak oceniane mało korzystnie</w:t>
      </w:r>
      <w:r w:rsidR="00ED7814">
        <w:t xml:space="preserve"> </w:t>
      </w:r>
      <w:r w:rsidR="00ED7814" w:rsidRPr="00C655E7">
        <w:t>[</w:t>
      </w:r>
      <w:r w:rsidR="00ED7814" w:rsidRPr="00E00942">
        <w:rPr>
          <w:i/>
        </w:rPr>
        <w:t>Ukraina</w:t>
      </w:r>
      <w:r w:rsidR="00E00942">
        <w:rPr>
          <w:i/>
        </w:rPr>
        <w:t xml:space="preserve"> wpływa</w:t>
      </w:r>
      <w:r w:rsidR="00C655E7" w:rsidRPr="00C655E7">
        <w:rPr>
          <w:i/>
        </w:rPr>
        <w:t>…</w:t>
      </w:r>
      <w:r w:rsidR="00E00942">
        <w:t>,</w:t>
      </w:r>
      <w:r w:rsidR="00E00942" w:rsidRPr="00E00942">
        <w:t xml:space="preserve"> </w:t>
      </w:r>
      <w:r w:rsidR="00E00942">
        <w:t>dostęp: 04.06.2014</w:t>
      </w:r>
      <w:r w:rsidR="00ED7814" w:rsidRPr="00C655E7">
        <w:t>]</w:t>
      </w:r>
      <w:r>
        <w:t xml:space="preserve">. </w:t>
      </w:r>
      <w:r w:rsidRPr="004F7DFF">
        <w:rPr>
          <w:spacing w:val="-2"/>
        </w:rPr>
        <w:t xml:space="preserve">Eksperci oczekiwali bowiem większego wzrostu w tym podsektorze. Jako jedną z przyczyn takiej dynamiki przyrostu wskazuje się kryzys polityczny na Ukrainie, która stanowi istotny rynek dla </w:t>
      </w:r>
      <w:proofErr w:type="spellStart"/>
      <w:r w:rsidRPr="004F7DFF">
        <w:rPr>
          <w:spacing w:val="-2"/>
        </w:rPr>
        <w:t>Zelmera</w:t>
      </w:r>
      <w:proofErr w:type="spellEnd"/>
      <w:r w:rsidRPr="004F7DFF">
        <w:rPr>
          <w:spacing w:val="-2"/>
        </w:rPr>
        <w:t xml:space="preserve"> – krajowego potentata pr</w:t>
      </w:r>
      <w:r w:rsidRPr="004F7DFF">
        <w:rPr>
          <w:spacing w:val="-2"/>
        </w:rPr>
        <w:t>o</w:t>
      </w:r>
      <w:r w:rsidRPr="004F7DFF">
        <w:rPr>
          <w:spacing w:val="-2"/>
        </w:rPr>
        <w:t>dukcji małego AGD</w:t>
      </w:r>
      <w:r w:rsidR="00ED7814" w:rsidRPr="004F7DFF">
        <w:rPr>
          <w:spacing w:val="-2"/>
        </w:rPr>
        <w:t xml:space="preserve"> [</w:t>
      </w:r>
      <w:r w:rsidR="00621FA7" w:rsidRPr="00E00942">
        <w:rPr>
          <w:i/>
        </w:rPr>
        <w:t>Ukraina</w:t>
      </w:r>
      <w:r w:rsidR="00621FA7">
        <w:rPr>
          <w:i/>
        </w:rPr>
        <w:t xml:space="preserve"> wpływa</w:t>
      </w:r>
      <w:r w:rsidR="00621FA7" w:rsidRPr="00C655E7">
        <w:rPr>
          <w:i/>
        </w:rPr>
        <w:t>…</w:t>
      </w:r>
      <w:r w:rsidR="00621FA7">
        <w:t>,</w:t>
      </w:r>
      <w:r w:rsidR="00621FA7" w:rsidRPr="00E00942">
        <w:t xml:space="preserve"> </w:t>
      </w:r>
      <w:r w:rsidR="00621FA7">
        <w:t>dostęp: 04.06.2014</w:t>
      </w:r>
      <w:r w:rsidR="00ED7814" w:rsidRPr="004F7DFF">
        <w:rPr>
          <w:spacing w:val="-2"/>
        </w:rPr>
        <w:t>]</w:t>
      </w:r>
      <w:r w:rsidRPr="004F7DFF">
        <w:rPr>
          <w:spacing w:val="-2"/>
        </w:rPr>
        <w:t>.</w:t>
      </w:r>
    </w:p>
    <w:p w:rsidR="008843FC" w:rsidRPr="00621FA7" w:rsidRDefault="008843FC" w:rsidP="008843FC">
      <w:pPr>
        <w:pStyle w:val="FutureTekstpodstawowy"/>
        <w:rPr>
          <w:spacing w:val="-2"/>
        </w:rPr>
      </w:pPr>
      <w:r w:rsidRPr="00621FA7">
        <w:rPr>
          <w:spacing w:val="-2"/>
        </w:rPr>
        <w:t>Reasumując, Polska należy do głównych rozgrywających wśród producentów dóbr AGD w Europie. Konkuruje m.</w:t>
      </w:r>
      <w:r w:rsidR="00CE57D3" w:rsidRPr="00621FA7">
        <w:rPr>
          <w:spacing w:val="-2"/>
        </w:rPr>
        <w:t xml:space="preserve"> </w:t>
      </w:r>
      <w:r w:rsidRPr="00621FA7">
        <w:rPr>
          <w:spacing w:val="-2"/>
        </w:rPr>
        <w:t>in. z Niemcami i Włochami – ze względu na niższe koszty pracy, produkcja z krajów starej uni</w:t>
      </w:r>
      <w:r w:rsidR="00621FA7">
        <w:rPr>
          <w:spacing w:val="-2"/>
        </w:rPr>
        <w:t>i jest przenoszona do Polski, a </w:t>
      </w:r>
      <w:r w:rsidRPr="00621FA7">
        <w:rPr>
          <w:spacing w:val="-2"/>
        </w:rPr>
        <w:t>następnie znamienita część produkcji polskich fabryk jest eksportowana do Unii Europejskiej. Największy udział w produkcji dóbr AGD mają tzw. urządzenia dużego AGD. Mniej produkuje się urządzeń małego AGD ze względu na konk</w:t>
      </w:r>
      <w:r w:rsidRPr="00621FA7">
        <w:rPr>
          <w:spacing w:val="-2"/>
        </w:rPr>
        <w:t>u</w:t>
      </w:r>
      <w:r w:rsidRPr="00621FA7">
        <w:rPr>
          <w:spacing w:val="-2"/>
        </w:rPr>
        <w:t>rencyjne koszty produkcji i transportu tego asortymentu w krajach azjatyckich.</w:t>
      </w:r>
    </w:p>
    <w:p w:rsidR="005F4276" w:rsidRPr="008843FC" w:rsidRDefault="005F4276" w:rsidP="005F4276">
      <w:pPr>
        <w:pStyle w:val="FutureTyturozdziau"/>
      </w:pPr>
      <w:r w:rsidRPr="008843FC">
        <w:t>2. </w:t>
      </w:r>
      <w:r w:rsidR="008843FC" w:rsidRPr="008843FC">
        <w:t>Charakterystyka Zelmer SA</w:t>
      </w:r>
    </w:p>
    <w:p w:rsidR="008843FC" w:rsidRDefault="008843FC" w:rsidP="008843FC">
      <w:pPr>
        <w:pStyle w:val="FutureTekstpodstawowy"/>
      </w:pPr>
      <w:r w:rsidRPr="0011475B">
        <w:t>Zelmer to wiodący polski producent drobnego sprzętu AGD, m.</w:t>
      </w:r>
      <w:r w:rsidR="00CE57D3">
        <w:t xml:space="preserve"> </w:t>
      </w:r>
      <w:r w:rsidRPr="0011475B">
        <w:t>in. odk</w:t>
      </w:r>
      <w:r w:rsidRPr="0011475B">
        <w:t>u</w:t>
      </w:r>
      <w:r w:rsidRPr="0011475B">
        <w:t>rzaczy, maszynek do mięsa, mikserów, robotów kuchennych, sokowirówek, czajników oraz krajalnic. W asortymencie znajdują się również kuchenki mikr</w:t>
      </w:r>
      <w:r w:rsidRPr="0011475B">
        <w:t>o</w:t>
      </w:r>
      <w:r w:rsidRPr="0011475B">
        <w:t>falowe, eks</w:t>
      </w:r>
      <w:r w:rsidR="00ED7814">
        <w:t xml:space="preserve">presy do kawy, żelazka, wagi i </w:t>
      </w:r>
      <w:r w:rsidRPr="0011475B">
        <w:t>urządzenia do stylizacji włosów</w:t>
      </w:r>
      <w:r w:rsidR="00ED7814">
        <w:t xml:space="preserve"> </w:t>
      </w:r>
      <w:r w:rsidR="00ED7814" w:rsidRPr="00C655E7">
        <w:t>[</w:t>
      </w:r>
      <w:r w:rsidR="00ED7814" w:rsidRPr="00E00942">
        <w:rPr>
          <w:i/>
        </w:rPr>
        <w:t>Dl</w:t>
      </w:r>
      <w:r w:rsidR="00ED7814" w:rsidRPr="00E00942">
        <w:rPr>
          <w:i/>
        </w:rPr>
        <w:t>a</w:t>
      </w:r>
      <w:r w:rsidR="00ED7814" w:rsidRPr="00E00942">
        <w:rPr>
          <w:i/>
        </w:rPr>
        <w:t>czego</w:t>
      </w:r>
      <w:r w:rsidR="00E00942">
        <w:rPr>
          <w:i/>
        </w:rPr>
        <w:t xml:space="preserve"> Zelmer</w:t>
      </w:r>
      <w:r w:rsidR="00C655E7" w:rsidRPr="00C655E7">
        <w:rPr>
          <w:i/>
        </w:rPr>
        <w:t>…</w:t>
      </w:r>
      <w:r w:rsidR="00E00942">
        <w:t>,</w:t>
      </w:r>
      <w:r w:rsidR="00E00942" w:rsidRPr="00E00942">
        <w:t xml:space="preserve"> </w:t>
      </w:r>
      <w:r w:rsidR="00E00942">
        <w:t>dostęp: 04.06.2014</w:t>
      </w:r>
      <w:r w:rsidR="00ED7814" w:rsidRPr="00C655E7">
        <w:t>]</w:t>
      </w:r>
      <w:r w:rsidRPr="0011475B">
        <w:t>.</w:t>
      </w:r>
      <w:r>
        <w:t xml:space="preserve"> Działalność firma rozpoczęła w 1951 r.</w:t>
      </w:r>
      <w:r w:rsidR="00ED7814">
        <w:t>,</w:t>
      </w:r>
      <w:r w:rsidR="00E00942">
        <w:t xml:space="preserve"> a </w:t>
      </w:r>
      <w:r>
        <w:t>w 2</w:t>
      </w:r>
      <w:r w:rsidR="00CE57D3">
        <w:t>001 r. została prze</w:t>
      </w:r>
      <w:r w:rsidR="004F7DFF">
        <w:t xml:space="preserve">kształcona z </w:t>
      </w:r>
      <w:r>
        <w:t>przedsiębiorstwa państwowego na spółkę a</w:t>
      </w:r>
      <w:r w:rsidR="00CE57D3">
        <w:t>kcyjną. W wyniku pry</w:t>
      </w:r>
      <w:r w:rsidR="004F7DFF">
        <w:t xml:space="preserve">watyzacji w </w:t>
      </w:r>
      <w:r>
        <w:t>2005 r. trafiła na warszawską giełdę. Z</w:t>
      </w:r>
      <w:r>
        <w:t>a</w:t>
      </w:r>
      <w:r>
        <w:t>trudnia 1660 osób (2013</w:t>
      </w:r>
      <w:r w:rsidR="00CE57D3">
        <w:t xml:space="preserve"> </w:t>
      </w:r>
      <w:r>
        <w:t>r.), siedzibą spółki jest Rzeszów. Obecnie jedynym udziałowcem jest BSH Sprzęt Gospodarstwa Domowego Sp. z o.o. Zelmer SA ma również spółki</w:t>
      </w:r>
      <w:r w:rsidR="004F7DFF">
        <w:t xml:space="preserve"> </w:t>
      </w:r>
      <w:r w:rsidR="00ED7814">
        <w:t>–</w:t>
      </w:r>
      <w:r w:rsidR="004F7DFF">
        <w:t xml:space="preserve"> </w:t>
      </w:r>
      <w:r>
        <w:t xml:space="preserve">córki (głównie biura sprzedaży) w Czechach, Rosji, na Słowacji, na Ukrainie i na Węgrzech. </w:t>
      </w:r>
    </w:p>
    <w:p w:rsidR="008843FC" w:rsidRDefault="008843FC" w:rsidP="008843FC">
      <w:pPr>
        <w:pStyle w:val="FutureTekstpodstawowy"/>
      </w:pPr>
      <w:r>
        <w:t>Zelmer jest liderem krajowego rynk</w:t>
      </w:r>
      <w:r w:rsidR="00CE57D3">
        <w:t>u drobnego AGD z 22% udziałem w </w:t>
      </w:r>
      <w:r>
        <w:t>kraju. W Europie Środkowo-Wschodniej ma 7% rynku</w:t>
      </w:r>
      <w:r w:rsidR="00ED7814">
        <w:t xml:space="preserve"> </w:t>
      </w:r>
      <w:r w:rsidR="00ED7814" w:rsidRPr="00C655E7">
        <w:t>[</w:t>
      </w:r>
      <w:r w:rsidR="00ED7814" w:rsidRPr="00C655E7">
        <w:rPr>
          <w:i/>
        </w:rPr>
        <w:t>Zelmer trafi</w:t>
      </w:r>
      <w:r w:rsidR="00C655E7" w:rsidRPr="00C655E7">
        <w:rPr>
          <w:i/>
        </w:rPr>
        <w:t>…</w:t>
      </w:r>
      <w:r w:rsidR="00E00942">
        <w:t>,</w:t>
      </w:r>
      <w:r w:rsidR="00E00942" w:rsidRPr="00E00942">
        <w:t xml:space="preserve"> </w:t>
      </w:r>
      <w:r w:rsidR="00E00942">
        <w:t>d</w:t>
      </w:r>
      <w:r w:rsidR="00E00942">
        <w:t>o</w:t>
      </w:r>
      <w:r w:rsidR="00E00942">
        <w:t>stęp: 04.06.2014</w:t>
      </w:r>
      <w:r w:rsidR="00ED7814" w:rsidRPr="00C655E7">
        <w:t>]</w:t>
      </w:r>
      <w:r>
        <w:t>.</w:t>
      </w:r>
      <w:r w:rsidR="00997F15">
        <w:t xml:space="preserve"> </w:t>
      </w:r>
      <w:r w:rsidR="00CE57D3">
        <w:t>We wrześniu 2011 r.</w:t>
      </w:r>
      <w:r w:rsidRPr="00690365">
        <w:t xml:space="preserve"> w Rogoźnicy pod Rzeszowem została otwarta</w:t>
      </w:r>
      <w:r w:rsidR="00CE57D3">
        <w:t xml:space="preserve"> nowa fabry</w:t>
      </w:r>
      <w:r w:rsidR="004F7DFF">
        <w:t xml:space="preserve">ka firmy. To jeden z </w:t>
      </w:r>
      <w:r w:rsidRPr="00690365">
        <w:t>najnowocześniejszych zakładów tego typu na świecie. Zostało w nim uruchomionych 13 linii produkcyjnych wysp</w:t>
      </w:r>
      <w:r w:rsidRPr="00690365">
        <w:t>e</w:t>
      </w:r>
      <w:r w:rsidRPr="00690365">
        <w:t>cjalizowanych w produkcji odku</w:t>
      </w:r>
      <w:r w:rsidR="004F7DFF">
        <w:t xml:space="preserve">rzaczy i </w:t>
      </w:r>
      <w:r w:rsidRPr="00690365">
        <w:t>sprzętu kuchennego. W fabryce odb</w:t>
      </w:r>
      <w:r w:rsidRPr="00690365">
        <w:t>y</w:t>
      </w:r>
      <w:r w:rsidRPr="00690365">
        <w:t>wa się całość procesu produkcji – od przetwórstwa tworzyw po pakowanie g</w:t>
      </w:r>
      <w:r w:rsidRPr="00690365">
        <w:t>o</w:t>
      </w:r>
      <w:r w:rsidRPr="00690365">
        <w:t>towego wyrobu</w:t>
      </w:r>
      <w:r w:rsidR="00ED7814">
        <w:t xml:space="preserve"> </w:t>
      </w:r>
      <w:r w:rsidR="00ED7814" w:rsidRPr="00C655E7">
        <w:t>[</w:t>
      </w:r>
      <w:r w:rsidR="00ED7814" w:rsidRPr="00E00942">
        <w:rPr>
          <w:i/>
        </w:rPr>
        <w:t>Dlaczego</w:t>
      </w:r>
      <w:r w:rsidR="00E00942">
        <w:rPr>
          <w:i/>
        </w:rPr>
        <w:t xml:space="preserve"> Zelmer</w:t>
      </w:r>
      <w:r w:rsidR="00C655E7" w:rsidRPr="00C655E7">
        <w:rPr>
          <w:i/>
        </w:rPr>
        <w:t>…</w:t>
      </w:r>
      <w:r w:rsidR="00E00942">
        <w:t>,</w:t>
      </w:r>
      <w:r w:rsidR="00E00942" w:rsidRPr="00E00942">
        <w:t xml:space="preserve"> </w:t>
      </w:r>
      <w:r w:rsidR="00E00942">
        <w:t>dostęp: 04.06.2014</w:t>
      </w:r>
      <w:r w:rsidR="00ED7814" w:rsidRPr="00C655E7">
        <w:t>]</w:t>
      </w:r>
      <w:r>
        <w:t>.</w:t>
      </w:r>
    </w:p>
    <w:p w:rsidR="008843FC" w:rsidRDefault="008843FC" w:rsidP="008843FC">
      <w:pPr>
        <w:pStyle w:val="FutureTekstpodstawowy"/>
      </w:pPr>
      <w:r>
        <w:t>Zelmer rzeczywiście stanowił atrakcyjny cel do przejęc</w:t>
      </w:r>
      <w:r w:rsidR="00CE57D3">
        <w:t xml:space="preserve">ia dla niemieckiego koncernu – </w:t>
      </w:r>
      <w:r>
        <w:t>lider krajowego rynku małego AGD z 7% udziałem w rynku Europy Środkowo-Wschodniej, notowany na najważniejszym parkiecie w tym rejonie, podmiot wolny od rządu, posiadający nowo wybudowaną nowoczesną halę pr</w:t>
      </w:r>
      <w:r>
        <w:t>o</w:t>
      </w:r>
      <w:r>
        <w:t xml:space="preserve">dukcyjną. Tabela </w:t>
      </w:r>
      <w:r w:rsidRPr="00E00942">
        <w:t>3</w:t>
      </w:r>
      <w:r>
        <w:t xml:space="preserve"> przedstawia wybrane wartości bilansowe i wskaźniki osiąg</w:t>
      </w:r>
      <w:r>
        <w:t>a</w:t>
      </w:r>
      <w:r>
        <w:t>ne w latach 2008</w:t>
      </w:r>
      <w:r w:rsidR="00682B21">
        <w:t>–2</w:t>
      </w:r>
      <w:r>
        <w:t>012.</w:t>
      </w:r>
    </w:p>
    <w:p w:rsidR="00621FA7" w:rsidRPr="00621FA7" w:rsidRDefault="00621FA7" w:rsidP="008843FC">
      <w:pPr>
        <w:pStyle w:val="FutureTekstpodstawowy"/>
        <w:rPr>
          <w:sz w:val="16"/>
        </w:rPr>
      </w:pPr>
    </w:p>
    <w:p w:rsidR="008843FC" w:rsidRDefault="008843FC" w:rsidP="008843FC">
      <w:pPr>
        <w:pStyle w:val="FutureRysunekTabela"/>
      </w:pPr>
      <w:r>
        <w:t>Tabela 3. Wybrane wartości bilansowe i wskaźniki w latach 2012</w:t>
      </w:r>
      <w:r w:rsidR="00CE57D3">
        <w:t>–</w:t>
      </w:r>
      <w:r w:rsidR="00621FA7">
        <w:t>2008 spółki Zelmer (tys. zł)</w:t>
      </w:r>
    </w:p>
    <w:tbl>
      <w:tblPr>
        <w:tblW w:w="7144" w:type="dxa"/>
        <w:jc w:val="center"/>
        <w:tblCellMar>
          <w:left w:w="70" w:type="dxa"/>
          <w:right w:w="70" w:type="dxa"/>
        </w:tblCellMar>
        <w:tblLook w:val="04A0"/>
      </w:tblPr>
      <w:tblGrid>
        <w:gridCol w:w="1539"/>
        <w:gridCol w:w="1150"/>
        <w:gridCol w:w="1149"/>
        <w:gridCol w:w="1149"/>
        <w:gridCol w:w="1149"/>
        <w:gridCol w:w="1149"/>
      </w:tblGrid>
      <w:tr w:rsidR="008843FC" w:rsidRPr="004A2DBB" w:rsidTr="00621FA7">
        <w:trPr>
          <w:trHeight w:val="300"/>
          <w:jc w:val="center"/>
        </w:trPr>
        <w:tc>
          <w:tcPr>
            <w:tcW w:w="2005" w:type="dxa"/>
            <w:tcBorders>
              <w:top w:val="single" w:sz="4" w:space="0" w:color="auto"/>
              <w:left w:val="single" w:sz="4" w:space="0" w:color="auto"/>
              <w:bottom w:val="double" w:sz="4" w:space="0" w:color="auto"/>
              <w:right w:val="single" w:sz="4" w:space="0" w:color="auto"/>
            </w:tcBorders>
            <w:shd w:val="clear" w:color="auto" w:fill="89B137"/>
            <w:noWrap/>
            <w:vAlign w:val="center"/>
            <w:hideMark/>
          </w:tcPr>
          <w:p w:rsidR="008843FC" w:rsidRPr="004A2DBB" w:rsidRDefault="008843FC" w:rsidP="00CE57D3">
            <w:pPr>
              <w:pStyle w:val="FutureTekstwtabeli"/>
              <w:jc w:val="center"/>
            </w:pPr>
            <w:r>
              <w:t>Wyszczególnienie</w:t>
            </w:r>
          </w:p>
        </w:tc>
        <w:tc>
          <w:tcPr>
            <w:tcW w:w="1487"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4A2DBB" w:rsidRDefault="008843FC" w:rsidP="00CE57D3">
            <w:pPr>
              <w:pStyle w:val="FutureTekstwtabeli"/>
              <w:jc w:val="center"/>
            </w:pPr>
            <w:r w:rsidRPr="004A2DBB">
              <w:t>2012</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4A2DBB" w:rsidRDefault="008843FC" w:rsidP="00CE57D3">
            <w:pPr>
              <w:pStyle w:val="FutureTekstwtabeli"/>
              <w:jc w:val="center"/>
            </w:pPr>
            <w:r w:rsidRPr="004A2DBB">
              <w:t>2011</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4A2DBB" w:rsidRDefault="008843FC" w:rsidP="00CE57D3">
            <w:pPr>
              <w:pStyle w:val="FutureTekstwtabeli"/>
              <w:jc w:val="center"/>
            </w:pPr>
            <w:r w:rsidRPr="004A2DBB">
              <w:t>2010</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4A2DBB" w:rsidRDefault="008843FC" w:rsidP="00CE57D3">
            <w:pPr>
              <w:pStyle w:val="FutureTekstwtabeli"/>
              <w:jc w:val="center"/>
            </w:pPr>
            <w:r w:rsidRPr="004A2DBB">
              <w:t>2009</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4A2DBB" w:rsidRDefault="008843FC" w:rsidP="00CE57D3">
            <w:pPr>
              <w:pStyle w:val="FutureTekstwtabeli"/>
              <w:jc w:val="center"/>
            </w:pPr>
            <w:r w:rsidRPr="004A2DBB">
              <w:t>2008</w:t>
            </w:r>
          </w:p>
        </w:tc>
      </w:tr>
      <w:tr w:rsidR="008843FC" w:rsidRPr="004A2DBB" w:rsidTr="00621FA7">
        <w:trPr>
          <w:trHeight w:val="255"/>
          <w:jc w:val="center"/>
        </w:trPr>
        <w:tc>
          <w:tcPr>
            <w:tcW w:w="200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843FC" w:rsidRPr="004A2DBB" w:rsidRDefault="008843FC" w:rsidP="008843FC">
            <w:pPr>
              <w:pStyle w:val="FutureTekstwtabeli"/>
            </w:pPr>
            <w:r w:rsidRPr="004A2DBB">
              <w:t>Aktywa</w:t>
            </w:r>
          </w:p>
        </w:tc>
        <w:tc>
          <w:tcPr>
            <w:tcW w:w="1487"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654</w:t>
            </w:r>
            <w:r w:rsidR="00CE57D3">
              <w:t> </w:t>
            </w:r>
            <w:r w:rsidRPr="007C6CAB">
              <w:t>602</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627</w:t>
            </w:r>
            <w:r w:rsidR="00CE57D3">
              <w:t> </w:t>
            </w:r>
            <w:r w:rsidRPr="007C6CAB">
              <w:t>861</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488</w:t>
            </w:r>
            <w:r w:rsidR="00CE57D3">
              <w:t> </w:t>
            </w:r>
            <w:r w:rsidRPr="007C6CAB">
              <w:t>303</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463</w:t>
            </w:r>
            <w:r w:rsidR="00CE57D3">
              <w:t> </w:t>
            </w:r>
            <w:r w:rsidRPr="007C6CAB">
              <w:t>654</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444</w:t>
            </w:r>
            <w:r w:rsidR="00CE57D3">
              <w:t> </w:t>
            </w:r>
            <w:r w:rsidRPr="007C6CAB">
              <w:t>415</w:t>
            </w:r>
          </w:p>
        </w:tc>
      </w:tr>
      <w:tr w:rsidR="008843FC" w:rsidRPr="004A2DBB" w:rsidTr="00621FA7">
        <w:trPr>
          <w:trHeight w:val="255"/>
          <w:jc w:val="center"/>
        </w:trPr>
        <w:tc>
          <w:tcPr>
            <w:tcW w:w="2005" w:type="dxa"/>
            <w:tcBorders>
              <w:top w:val="nil"/>
              <w:left w:val="single" w:sz="4" w:space="0" w:color="auto"/>
              <w:bottom w:val="single" w:sz="4" w:space="0" w:color="auto"/>
              <w:right w:val="single" w:sz="4" w:space="0" w:color="auto"/>
            </w:tcBorders>
            <w:shd w:val="clear" w:color="auto" w:fill="DBE7C3"/>
            <w:noWrap/>
            <w:vAlign w:val="center"/>
            <w:hideMark/>
          </w:tcPr>
          <w:p w:rsidR="008843FC" w:rsidRPr="004A2DBB" w:rsidRDefault="008843FC" w:rsidP="008843FC">
            <w:pPr>
              <w:pStyle w:val="FutureTekstwtabeli"/>
            </w:pPr>
            <w:r w:rsidRPr="004A2DBB">
              <w:t>Sprzedaż</w:t>
            </w:r>
          </w:p>
        </w:tc>
        <w:tc>
          <w:tcPr>
            <w:tcW w:w="1487" w:type="dxa"/>
            <w:tcBorders>
              <w:top w:val="nil"/>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737</w:t>
            </w:r>
            <w:r w:rsidR="00CE57D3">
              <w:t> </w:t>
            </w:r>
            <w:r w:rsidRPr="007C6CAB">
              <w:t>949</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677</w:t>
            </w:r>
            <w:r w:rsidR="00CE57D3">
              <w:t> </w:t>
            </w:r>
            <w:r w:rsidRPr="007C6CAB">
              <w:t>487</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640</w:t>
            </w:r>
            <w:r w:rsidR="00CE57D3">
              <w:t> </w:t>
            </w:r>
            <w:r w:rsidRPr="007C6CAB">
              <w:t>455</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504</w:t>
            </w:r>
            <w:r w:rsidR="00CE57D3">
              <w:t> </w:t>
            </w:r>
            <w:r w:rsidRPr="007C6CAB">
              <w:t>681</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465</w:t>
            </w:r>
            <w:r w:rsidR="00CE57D3">
              <w:t> </w:t>
            </w:r>
            <w:r w:rsidRPr="007C6CAB">
              <w:t>872</w:t>
            </w:r>
          </w:p>
        </w:tc>
      </w:tr>
      <w:tr w:rsidR="008843FC" w:rsidRPr="004A2DBB" w:rsidTr="00621FA7">
        <w:trPr>
          <w:trHeight w:val="255"/>
          <w:jc w:val="center"/>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8843FC" w:rsidRPr="004A2DBB" w:rsidRDefault="008843FC" w:rsidP="008843FC">
            <w:pPr>
              <w:pStyle w:val="FutureTekstwtabeli"/>
            </w:pPr>
            <w:r w:rsidRPr="004A2DBB">
              <w:t>Zysk operacyjny (EBIT)</w:t>
            </w:r>
          </w:p>
        </w:tc>
        <w:tc>
          <w:tcPr>
            <w:tcW w:w="1487"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37</w:t>
            </w:r>
            <w:r w:rsidR="00CE57D3">
              <w:t> </w:t>
            </w:r>
            <w:r w:rsidRPr="007C6CAB">
              <w:t>796</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42</w:t>
            </w:r>
            <w:r w:rsidR="00CE57D3">
              <w:t> </w:t>
            </w:r>
            <w:r w:rsidRPr="007C6CAB">
              <w:t>852</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49</w:t>
            </w:r>
            <w:r w:rsidR="00CE57D3">
              <w:t> </w:t>
            </w:r>
            <w:r w:rsidRPr="007C6CAB">
              <w:t>205</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17</w:t>
            </w:r>
            <w:r w:rsidR="00CE57D3">
              <w:t> </w:t>
            </w:r>
            <w:r w:rsidRPr="007C6CAB">
              <w:t>967</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32</w:t>
            </w:r>
            <w:r w:rsidR="00CE57D3">
              <w:t> </w:t>
            </w:r>
            <w:r w:rsidRPr="007C6CAB">
              <w:t>300</w:t>
            </w:r>
          </w:p>
        </w:tc>
      </w:tr>
      <w:tr w:rsidR="008843FC" w:rsidRPr="004A2DBB" w:rsidTr="00621FA7">
        <w:trPr>
          <w:trHeight w:val="255"/>
          <w:jc w:val="center"/>
        </w:trPr>
        <w:tc>
          <w:tcPr>
            <w:tcW w:w="2005" w:type="dxa"/>
            <w:tcBorders>
              <w:top w:val="nil"/>
              <w:left w:val="single" w:sz="4" w:space="0" w:color="auto"/>
              <w:bottom w:val="single" w:sz="4" w:space="0" w:color="auto"/>
              <w:right w:val="single" w:sz="4" w:space="0" w:color="auto"/>
            </w:tcBorders>
            <w:shd w:val="clear" w:color="auto" w:fill="DBE7C3"/>
            <w:noWrap/>
            <w:vAlign w:val="center"/>
            <w:hideMark/>
          </w:tcPr>
          <w:p w:rsidR="008843FC" w:rsidRPr="004A2DBB" w:rsidRDefault="008843FC" w:rsidP="008843FC">
            <w:pPr>
              <w:pStyle w:val="FutureTekstwtabeli"/>
            </w:pPr>
            <w:r w:rsidRPr="004A2DBB">
              <w:t>Zysk netto</w:t>
            </w:r>
          </w:p>
        </w:tc>
        <w:tc>
          <w:tcPr>
            <w:tcW w:w="1487" w:type="dxa"/>
            <w:tcBorders>
              <w:top w:val="nil"/>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29</w:t>
            </w:r>
            <w:r w:rsidR="00CE57D3">
              <w:t> </w:t>
            </w:r>
            <w:r w:rsidRPr="007C6CAB">
              <w:t>375</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48</w:t>
            </w:r>
            <w:r w:rsidR="00CE57D3">
              <w:t> </w:t>
            </w:r>
            <w:r w:rsidRPr="007C6CAB">
              <w:t>284</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37</w:t>
            </w:r>
            <w:r w:rsidR="00CE57D3">
              <w:t> </w:t>
            </w:r>
            <w:r w:rsidRPr="007C6CAB">
              <w:t>781</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11</w:t>
            </w:r>
            <w:r w:rsidR="00CE57D3">
              <w:t> </w:t>
            </w:r>
            <w:r w:rsidRPr="007C6CAB">
              <w:t>609</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24</w:t>
            </w:r>
            <w:r w:rsidR="00CE57D3">
              <w:t> </w:t>
            </w:r>
            <w:r w:rsidRPr="007C6CAB">
              <w:t>752</w:t>
            </w:r>
          </w:p>
        </w:tc>
      </w:tr>
      <w:tr w:rsidR="008843FC" w:rsidRPr="004A2DBB" w:rsidTr="00621FA7">
        <w:trPr>
          <w:trHeight w:val="255"/>
          <w:jc w:val="center"/>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8843FC" w:rsidRPr="004A2DBB" w:rsidRDefault="008843FC" w:rsidP="008843FC">
            <w:pPr>
              <w:pStyle w:val="FutureTekstwtabeli"/>
            </w:pPr>
            <w:r w:rsidRPr="004A2DBB">
              <w:t>ROE</w:t>
            </w:r>
          </w:p>
        </w:tc>
        <w:tc>
          <w:tcPr>
            <w:tcW w:w="1487"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9,332</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15,216</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12,817</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4,233</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CE57D3">
            <w:pPr>
              <w:pStyle w:val="FutureTekstwtabeli"/>
              <w:jc w:val="center"/>
            </w:pPr>
            <w:r w:rsidRPr="007C6CAB">
              <w:t>9,434</w:t>
            </w:r>
          </w:p>
        </w:tc>
      </w:tr>
      <w:tr w:rsidR="008843FC" w:rsidRPr="004A2DBB" w:rsidTr="00621FA7">
        <w:trPr>
          <w:trHeight w:val="255"/>
          <w:jc w:val="center"/>
        </w:trPr>
        <w:tc>
          <w:tcPr>
            <w:tcW w:w="2005" w:type="dxa"/>
            <w:tcBorders>
              <w:top w:val="nil"/>
              <w:left w:val="single" w:sz="4" w:space="0" w:color="auto"/>
              <w:bottom w:val="single" w:sz="4" w:space="0" w:color="auto"/>
              <w:right w:val="single" w:sz="4" w:space="0" w:color="auto"/>
            </w:tcBorders>
            <w:shd w:val="clear" w:color="auto" w:fill="DBE7C3"/>
            <w:noWrap/>
            <w:vAlign w:val="center"/>
            <w:hideMark/>
          </w:tcPr>
          <w:p w:rsidR="008843FC" w:rsidRPr="004A2DBB" w:rsidRDefault="008843FC" w:rsidP="008843FC">
            <w:pPr>
              <w:pStyle w:val="FutureTekstwtabeli"/>
            </w:pPr>
            <w:r w:rsidRPr="004A2DBB">
              <w:t>ROA</w:t>
            </w:r>
          </w:p>
        </w:tc>
        <w:tc>
          <w:tcPr>
            <w:tcW w:w="1487" w:type="dxa"/>
            <w:tcBorders>
              <w:top w:val="nil"/>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4,487</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7,69</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7,737</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2,504</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CE57D3">
            <w:pPr>
              <w:pStyle w:val="FutureTekstwtabeli"/>
              <w:jc w:val="center"/>
            </w:pPr>
            <w:r w:rsidRPr="007C6CAB">
              <w:t>5,57</w:t>
            </w:r>
          </w:p>
        </w:tc>
      </w:tr>
    </w:tbl>
    <w:p w:rsidR="008843FC" w:rsidRPr="007672B0" w:rsidRDefault="008843FC" w:rsidP="008843FC">
      <w:pPr>
        <w:pStyle w:val="Futurerdo"/>
        <w:rPr>
          <w:b/>
        </w:rPr>
      </w:pPr>
      <w:r>
        <w:t xml:space="preserve">Źródło: </w:t>
      </w:r>
      <w:r w:rsidR="00621FA7">
        <w:t>o</w:t>
      </w:r>
      <w:r w:rsidRPr="007672B0">
        <w:t>pracowanie własne na podst</w:t>
      </w:r>
      <w:r>
        <w:t>awie</w:t>
      </w:r>
      <w:r w:rsidRPr="007672B0">
        <w:t xml:space="preserve"> bazy danych Amadeus</w:t>
      </w:r>
      <w:r w:rsidR="00621FA7">
        <w:t>.</w:t>
      </w:r>
    </w:p>
    <w:p w:rsidR="008843FC" w:rsidRPr="008843FC" w:rsidRDefault="008843FC" w:rsidP="008843FC">
      <w:pPr>
        <w:pStyle w:val="Futurerdo"/>
        <w:rPr>
          <w:sz w:val="22"/>
          <w:szCs w:val="22"/>
        </w:rPr>
      </w:pPr>
    </w:p>
    <w:p w:rsidR="008843FC" w:rsidRDefault="008843FC" w:rsidP="008843FC">
      <w:pPr>
        <w:pStyle w:val="FutureTekstpodstawowy"/>
      </w:pPr>
      <w:r>
        <w:t>Z przedstawionej tabeli wyłania się obraz przedsiębiorstwa osiągającego bardzo dobre wyniki i perspektywicznego. Rosnąca suma aktywów rokrocznie oraz sprzedaż wskazują na nieustanny rozwój spółki i skuteczne zarządzanie. Duży poziom zysku operacyjnego i zysku netto potwierdzają ten fakt. Wskaźniki ROE i ROA również są satysfakcjonujące.</w:t>
      </w:r>
    </w:p>
    <w:p w:rsidR="005F4276" w:rsidRPr="008843FC" w:rsidRDefault="005F4276" w:rsidP="005F4276">
      <w:pPr>
        <w:pStyle w:val="FutureTyturozdziau"/>
      </w:pPr>
      <w:r w:rsidRPr="008843FC">
        <w:t>3. </w:t>
      </w:r>
      <w:r w:rsidR="008843FC" w:rsidRPr="008843FC">
        <w:t xml:space="preserve">Charakterystyka BSH Sprzęt Gospodarstwa </w:t>
      </w:r>
      <w:r w:rsidR="00621FA7">
        <w:t xml:space="preserve">                                           </w:t>
      </w:r>
      <w:r w:rsidR="008843FC" w:rsidRPr="008843FC">
        <w:t>Domowego SA</w:t>
      </w:r>
      <w:r w:rsidR="00621FA7">
        <w:t xml:space="preserve"> / </w:t>
      </w:r>
      <w:r w:rsidR="008843FC" w:rsidRPr="008843FC">
        <w:t xml:space="preserve">BSH Bosch und Siemens </w:t>
      </w:r>
      <w:proofErr w:type="spellStart"/>
      <w:r w:rsidR="008843FC" w:rsidRPr="008843FC">
        <w:t>Hausgeräte</w:t>
      </w:r>
      <w:proofErr w:type="spellEnd"/>
      <w:r w:rsidR="008843FC" w:rsidRPr="008843FC">
        <w:t xml:space="preserve"> GmbH</w:t>
      </w:r>
    </w:p>
    <w:p w:rsidR="008843FC" w:rsidRDefault="008843FC" w:rsidP="008843FC">
      <w:pPr>
        <w:pStyle w:val="FutureTekstpodstawowy"/>
      </w:pPr>
      <w:r>
        <w:t>BSH Sprzęt Gospodarstwa Domowego SA jest spółką</w:t>
      </w:r>
      <w:r w:rsidR="00CE57D3">
        <w:t xml:space="preserve"> – </w:t>
      </w:r>
      <w:r>
        <w:t xml:space="preserve">córką niemieckiego koncernu </w:t>
      </w:r>
      <w:r w:rsidRPr="00390199">
        <w:rPr>
          <w:szCs w:val="24"/>
        </w:rPr>
        <w:t xml:space="preserve">BSH Bosch </w:t>
      </w:r>
      <w:proofErr w:type="spellStart"/>
      <w:r w:rsidRPr="00390199">
        <w:rPr>
          <w:szCs w:val="24"/>
        </w:rPr>
        <w:t>und</w:t>
      </w:r>
      <w:proofErr w:type="spellEnd"/>
      <w:r w:rsidRPr="00390199">
        <w:rPr>
          <w:szCs w:val="24"/>
        </w:rPr>
        <w:t xml:space="preserve"> Siemens </w:t>
      </w:r>
      <w:proofErr w:type="spellStart"/>
      <w:r w:rsidRPr="00390199">
        <w:rPr>
          <w:szCs w:val="24"/>
        </w:rPr>
        <w:t>Hausgeräte</w:t>
      </w:r>
      <w:proofErr w:type="spellEnd"/>
      <w:r w:rsidRPr="00390199">
        <w:rPr>
          <w:szCs w:val="24"/>
        </w:rPr>
        <w:t xml:space="preserve"> </w:t>
      </w:r>
      <w:proofErr w:type="spellStart"/>
      <w:r w:rsidRPr="00390199">
        <w:rPr>
          <w:szCs w:val="24"/>
        </w:rPr>
        <w:t>GmbH</w:t>
      </w:r>
      <w:proofErr w:type="spellEnd"/>
      <w:r>
        <w:rPr>
          <w:szCs w:val="24"/>
        </w:rPr>
        <w:t>. W kontekście niniejsz</w:t>
      </w:r>
      <w:r>
        <w:rPr>
          <w:szCs w:val="24"/>
        </w:rPr>
        <w:t>e</w:t>
      </w:r>
      <w:r>
        <w:rPr>
          <w:szCs w:val="24"/>
        </w:rPr>
        <w:t xml:space="preserve">go opracowania traktującego o rozwoju strategicznym </w:t>
      </w:r>
      <w:r>
        <w:t>wydaje się właściwe przedstawienie kilku kluczowych informacji dotyczących całej grupy kapitał</w:t>
      </w:r>
      <w:r>
        <w:t>o</w:t>
      </w:r>
      <w:r w:rsidR="00621FA7">
        <w:t xml:space="preserve">wej </w:t>
      </w:r>
      <w:proofErr w:type="spellStart"/>
      <w:r w:rsidR="00621FA7">
        <w:t>Bosch–</w:t>
      </w:r>
      <w:r>
        <w:t>Siemens</w:t>
      </w:r>
      <w:proofErr w:type="spellEnd"/>
      <w:r>
        <w:t>.</w:t>
      </w:r>
    </w:p>
    <w:p w:rsidR="008843FC" w:rsidRDefault="008843FC" w:rsidP="008843FC">
      <w:pPr>
        <w:pStyle w:val="FutureTekstpodstawowy"/>
      </w:pPr>
      <w:r>
        <w:t>Grupa BSH to n</w:t>
      </w:r>
      <w:r w:rsidRPr="008E5CCA">
        <w:t xml:space="preserve">ajwiększy producent </w:t>
      </w:r>
      <w:r w:rsidR="00A64C5D">
        <w:t>sprzętu gospodarstwa domowego w </w:t>
      </w:r>
      <w:r w:rsidRPr="008E5CCA">
        <w:t>Europie i jedna z czołowych firm tej branż</w:t>
      </w:r>
      <w:r w:rsidR="00A64C5D">
        <w:t>y na świecie. Spółka powstała w 1967 r.</w:t>
      </w:r>
      <w:r w:rsidRPr="008E5CCA">
        <w:t xml:space="preserve"> jako joint </w:t>
      </w:r>
      <w:proofErr w:type="spellStart"/>
      <w:r w:rsidRPr="008E5CCA">
        <w:t>venture</w:t>
      </w:r>
      <w:proofErr w:type="spellEnd"/>
      <w:r w:rsidRPr="008E5CCA">
        <w:t xml:space="preserve"> przedsiębiorstw</w:t>
      </w:r>
      <w:r w:rsidR="00A64C5D">
        <w:t xml:space="preserve"> Robert Bosch </w:t>
      </w:r>
      <w:proofErr w:type="spellStart"/>
      <w:r w:rsidR="00A64C5D">
        <w:t>GmbH</w:t>
      </w:r>
      <w:proofErr w:type="spellEnd"/>
      <w:r w:rsidR="00A64C5D">
        <w:t xml:space="preserve"> z siedzibą w </w:t>
      </w:r>
      <w:proofErr w:type="spellStart"/>
      <w:r w:rsidRPr="008E5CCA">
        <w:t>Stuttgart’cie</w:t>
      </w:r>
      <w:proofErr w:type="spellEnd"/>
      <w:r w:rsidRPr="008E5CCA">
        <w:t xml:space="preserve"> i Siemens AG z siedzibą w Monachium. W 2013 </w:t>
      </w:r>
      <w:r w:rsidR="00A64C5D">
        <w:t xml:space="preserve">r. </w:t>
      </w:r>
      <w:r w:rsidRPr="008E5CCA">
        <w:t>firma uzysk</w:t>
      </w:r>
      <w:r w:rsidRPr="008E5CCA">
        <w:t>a</w:t>
      </w:r>
      <w:r w:rsidRPr="008E5CCA">
        <w:t xml:space="preserve">ła przychód roczny w wysokości 10,5 mld euro. </w:t>
      </w:r>
      <w:r>
        <w:t>Według stanu na koniec 2013 r.</w:t>
      </w:r>
      <w:r w:rsidRPr="008E5CCA">
        <w:t xml:space="preserve"> BSH posiada 40 fabryk w 13 państwach w Europie, USA, Ameryce Łacińsk</w:t>
      </w:r>
      <w:r w:rsidR="00A64C5D">
        <w:t>iej i </w:t>
      </w:r>
      <w:r w:rsidRPr="008E5CCA">
        <w:t>Azji</w:t>
      </w:r>
      <w:r w:rsidR="00682B21">
        <w:t xml:space="preserve"> </w:t>
      </w:r>
      <w:r w:rsidR="00682B21" w:rsidRPr="00C655E7">
        <w:t>[</w:t>
      </w:r>
      <w:r w:rsidR="00682B21" w:rsidRPr="00E00942">
        <w:rPr>
          <w:i/>
        </w:rPr>
        <w:t>Profil</w:t>
      </w:r>
      <w:r w:rsidR="00E00942">
        <w:rPr>
          <w:i/>
        </w:rPr>
        <w:t xml:space="preserve"> </w:t>
      </w:r>
      <w:r w:rsidR="00E00942" w:rsidRPr="00E00942">
        <w:rPr>
          <w:i/>
        </w:rPr>
        <w:t>firmy</w:t>
      </w:r>
      <w:r w:rsidR="00E00942">
        <w:t xml:space="preserve">…, </w:t>
      </w:r>
      <w:r w:rsidR="00E00942" w:rsidRPr="00E00942">
        <w:t>dostęp</w:t>
      </w:r>
      <w:r w:rsidR="00E00942">
        <w:t>: 04.06.2014</w:t>
      </w:r>
      <w:r w:rsidR="00682B21" w:rsidRPr="00C655E7">
        <w:t>]</w:t>
      </w:r>
      <w:r>
        <w:t>. W Polsce niemiecki producent real</w:t>
      </w:r>
      <w:r>
        <w:t>i</w:t>
      </w:r>
      <w:r>
        <w:t>z</w:t>
      </w:r>
      <w:r w:rsidR="00A64C5D">
        <w:t>uje swoją działalność po</w:t>
      </w:r>
      <w:r w:rsidR="004F7DFF">
        <w:t xml:space="preserve">przez 3 </w:t>
      </w:r>
      <w:r>
        <w:t xml:space="preserve">fabryki w Łodzi produkujące pralki, zmywarki oraz suszarki do ubrań. Od 2007 r. obecne jest także </w:t>
      </w:r>
      <w:r w:rsidRPr="00B86146">
        <w:t>Centrum Badań i Rozwoju Suszarek oraz Centrum Usług Informatycznych</w:t>
      </w:r>
      <w:r>
        <w:t>. W Bukowcu znajduje się Ce</w:t>
      </w:r>
      <w:r>
        <w:t>n</w:t>
      </w:r>
      <w:r>
        <w:t>trum Logistyczne firmy.</w:t>
      </w:r>
    </w:p>
    <w:p w:rsidR="008843FC" w:rsidRDefault="008843FC" w:rsidP="008843FC">
      <w:pPr>
        <w:pStyle w:val="FutureTekstpodstawowy"/>
      </w:pPr>
      <w:r>
        <w:t>Fabryki BSH w Łodzi, fabryki Zelmer w Rzeszowie i Rogoźnicy oraz biuro w Warszawie stanowią wszystkie obszary działalności grupy BSH w Polsce. Inne znaczące ośrodki produkcyjne koncernu to południowe Niemcy, Hiszpania, Turcja oraz Chiny.</w:t>
      </w:r>
    </w:p>
    <w:p w:rsidR="00621FA7" w:rsidRPr="00621FA7" w:rsidRDefault="00621FA7" w:rsidP="008843FC">
      <w:pPr>
        <w:pStyle w:val="FutureTekstpodstawowy"/>
        <w:rPr>
          <w:sz w:val="16"/>
        </w:rPr>
      </w:pPr>
    </w:p>
    <w:p w:rsidR="008843FC" w:rsidRDefault="008843FC" w:rsidP="008843FC">
      <w:pPr>
        <w:pStyle w:val="FutureRysunekTabela"/>
      </w:pPr>
      <w:r>
        <w:t xml:space="preserve">Tabela 4. </w:t>
      </w:r>
      <w:r w:rsidRPr="00A64C5D">
        <w:rPr>
          <w:spacing w:val="2"/>
        </w:rPr>
        <w:t>Wybrane wartości bilansowe i wskaźniki w latach 2012</w:t>
      </w:r>
      <w:r w:rsidR="00A64C5D" w:rsidRPr="00A64C5D">
        <w:rPr>
          <w:spacing w:val="2"/>
        </w:rPr>
        <w:t>–</w:t>
      </w:r>
      <w:r w:rsidR="00A64C5D">
        <w:rPr>
          <w:spacing w:val="2"/>
        </w:rPr>
        <w:t xml:space="preserve">2008 </w:t>
      </w:r>
      <w:r w:rsidR="00621FA7">
        <w:rPr>
          <w:spacing w:val="2"/>
        </w:rPr>
        <w:t xml:space="preserve">                                        </w:t>
      </w:r>
      <w:r w:rsidR="00A64C5D">
        <w:rPr>
          <w:spacing w:val="2"/>
        </w:rPr>
        <w:t>spółki BSH Sprzęt </w:t>
      </w:r>
      <w:r w:rsidRPr="00A64C5D">
        <w:rPr>
          <w:spacing w:val="2"/>
        </w:rPr>
        <w:t>G</w:t>
      </w:r>
      <w:r w:rsidR="00A64C5D">
        <w:rPr>
          <w:spacing w:val="2"/>
        </w:rPr>
        <w:t>o</w:t>
      </w:r>
      <w:r w:rsidRPr="00A64C5D">
        <w:rPr>
          <w:spacing w:val="2"/>
        </w:rPr>
        <w:t>spodarstwa Domowego (tys. zł)</w:t>
      </w:r>
    </w:p>
    <w:tbl>
      <w:tblPr>
        <w:tblW w:w="7144" w:type="dxa"/>
        <w:jc w:val="center"/>
        <w:tblCellMar>
          <w:left w:w="70" w:type="dxa"/>
          <w:right w:w="70" w:type="dxa"/>
        </w:tblCellMar>
        <w:tblLook w:val="04A0"/>
      </w:tblPr>
      <w:tblGrid>
        <w:gridCol w:w="1539"/>
        <w:gridCol w:w="1150"/>
        <w:gridCol w:w="1149"/>
        <w:gridCol w:w="1149"/>
        <w:gridCol w:w="1149"/>
        <w:gridCol w:w="1149"/>
      </w:tblGrid>
      <w:tr w:rsidR="008843FC" w:rsidRPr="00160BFF" w:rsidTr="00621FA7">
        <w:trPr>
          <w:trHeight w:val="300"/>
          <w:jc w:val="center"/>
        </w:trPr>
        <w:tc>
          <w:tcPr>
            <w:tcW w:w="2005" w:type="dxa"/>
            <w:tcBorders>
              <w:top w:val="single" w:sz="4" w:space="0" w:color="auto"/>
              <w:left w:val="single" w:sz="4" w:space="0" w:color="auto"/>
              <w:bottom w:val="double" w:sz="4" w:space="0" w:color="auto"/>
              <w:right w:val="single" w:sz="4" w:space="0" w:color="auto"/>
            </w:tcBorders>
            <w:shd w:val="clear" w:color="auto" w:fill="89B137"/>
            <w:noWrap/>
            <w:vAlign w:val="center"/>
            <w:hideMark/>
          </w:tcPr>
          <w:p w:rsidR="008843FC" w:rsidRPr="00160BFF" w:rsidRDefault="008843FC" w:rsidP="008843FC">
            <w:pPr>
              <w:pStyle w:val="FutureTekstwtabeli"/>
            </w:pPr>
            <w:r>
              <w:t>Wyszczególnienie</w:t>
            </w:r>
          </w:p>
        </w:tc>
        <w:tc>
          <w:tcPr>
            <w:tcW w:w="1487"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160BFF" w:rsidRDefault="008843FC" w:rsidP="00A64C5D">
            <w:pPr>
              <w:pStyle w:val="FutureTekstwtabeli"/>
              <w:jc w:val="center"/>
            </w:pPr>
            <w:r w:rsidRPr="00160BFF">
              <w:t>2012</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160BFF" w:rsidRDefault="008843FC" w:rsidP="00A64C5D">
            <w:pPr>
              <w:pStyle w:val="FutureTekstwtabeli"/>
              <w:jc w:val="center"/>
            </w:pPr>
            <w:r w:rsidRPr="00160BFF">
              <w:t>2011</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160BFF" w:rsidRDefault="008843FC" w:rsidP="00A64C5D">
            <w:pPr>
              <w:pStyle w:val="FutureTekstwtabeli"/>
              <w:jc w:val="center"/>
            </w:pPr>
            <w:r w:rsidRPr="00160BFF">
              <w:t>2010</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160BFF" w:rsidRDefault="008843FC" w:rsidP="00A64C5D">
            <w:pPr>
              <w:pStyle w:val="FutureTekstwtabeli"/>
              <w:jc w:val="center"/>
            </w:pPr>
            <w:r w:rsidRPr="00160BFF">
              <w:t>2009</w:t>
            </w:r>
          </w:p>
        </w:tc>
        <w:tc>
          <w:tcPr>
            <w:tcW w:w="1486" w:type="dxa"/>
            <w:tcBorders>
              <w:top w:val="single" w:sz="4" w:space="0" w:color="auto"/>
              <w:left w:val="nil"/>
              <w:bottom w:val="double" w:sz="4" w:space="0" w:color="auto"/>
              <w:right w:val="single" w:sz="4" w:space="0" w:color="auto"/>
            </w:tcBorders>
            <w:shd w:val="clear" w:color="auto" w:fill="89B137"/>
            <w:noWrap/>
            <w:vAlign w:val="center"/>
            <w:hideMark/>
          </w:tcPr>
          <w:p w:rsidR="008843FC" w:rsidRPr="00160BFF" w:rsidRDefault="008843FC" w:rsidP="00A64C5D">
            <w:pPr>
              <w:pStyle w:val="FutureTekstwtabeli"/>
              <w:jc w:val="center"/>
            </w:pPr>
            <w:r w:rsidRPr="00160BFF">
              <w:t>2008</w:t>
            </w:r>
          </w:p>
        </w:tc>
      </w:tr>
      <w:tr w:rsidR="008843FC" w:rsidRPr="00160BFF" w:rsidTr="00621FA7">
        <w:trPr>
          <w:trHeight w:val="255"/>
          <w:jc w:val="center"/>
        </w:trPr>
        <w:tc>
          <w:tcPr>
            <w:tcW w:w="200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843FC" w:rsidRPr="00160BFF" w:rsidRDefault="008843FC" w:rsidP="008843FC">
            <w:pPr>
              <w:pStyle w:val="FutureTekstwtabeli"/>
            </w:pPr>
            <w:r w:rsidRPr="00160BFF">
              <w:t>Aktywa</w:t>
            </w:r>
          </w:p>
        </w:tc>
        <w:tc>
          <w:tcPr>
            <w:tcW w:w="1487" w:type="dxa"/>
            <w:tcBorders>
              <w:top w:val="double" w:sz="4" w:space="0" w:color="auto"/>
              <w:left w:val="nil"/>
              <w:bottom w:val="single" w:sz="4" w:space="0" w:color="auto"/>
              <w:right w:val="single" w:sz="4" w:space="0" w:color="auto"/>
            </w:tcBorders>
            <w:shd w:val="clear" w:color="auto" w:fill="auto"/>
            <w:noWrap/>
            <w:vAlign w:val="center"/>
            <w:hideMark/>
          </w:tcPr>
          <w:p w:rsidR="008843FC" w:rsidRPr="00160BFF" w:rsidRDefault="008843FC" w:rsidP="00A64C5D">
            <w:pPr>
              <w:pStyle w:val="FutureTekstwtabeli"/>
              <w:jc w:val="center"/>
            </w:pPr>
            <w:r w:rsidRPr="00160BFF">
              <w:t>n/</w:t>
            </w:r>
            <w:r>
              <w:t>d</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A64C5D" w:rsidP="00A64C5D">
            <w:pPr>
              <w:pStyle w:val="FutureTekstwtabeli"/>
              <w:jc w:val="center"/>
            </w:pPr>
            <w:r>
              <w:t>1</w:t>
            </w:r>
            <w:r>
              <w:rPr>
                <w:spacing w:val="2"/>
              </w:rPr>
              <w:t> </w:t>
            </w:r>
            <w:r>
              <w:t>393</w:t>
            </w:r>
            <w:r>
              <w:rPr>
                <w:spacing w:val="2"/>
              </w:rPr>
              <w:t> </w:t>
            </w:r>
            <w:r w:rsidR="008843FC" w:rsidRPr="007C6CAB">
              <w:t>114</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1</w:t>
            </w:r>
            <w:r w:rsidR="00A64C5D">
              <w:rPr>
                <w:spacing w:val="2"/>
              </w:rPr>
              <w:t> </w:t>
            </w:r>
            <w:r w:rsidRPr="007C6CAB">
              <w:t>306</w:t>
            </w:r>
            <w:r w:rsidR="00A64C5D">
              <w:rPr>
                <w:spacing w:val="2"/>
              </w:rPr>
              <w:t> </w:t>
            </w:r>
            <w:r w:rsidRPr="007C6CAB">
              <w:t>036</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1</w:t>
            </w:r>
            <w:r w:rsidR="00A64C5D">
              <w:rPr>
                <w:spacing w:val="2"/>
              </w:rPr>
              <w:t> </w:t>
            </w:r>
            <w:r w:rsidRPr="007C6CAB">
              <w:t>134</w:t>
            </w:r>
            <w:r w:rsidR="00A64C5D">
              <w:rPr>
                <w:spacing w:val="2"/>
              </w:rPr>
              <w:t> </w:t>
            </w:r>
            <w:r w:rsidRPr="007C6CAB">
              <w:t>700</w:t>
            </w:r>
          </w:p>
        </w:tc>
        <w:tc>
          <w:tcPr>
            <w:tcW w:w="1486" w:type="dxa"/>
            <w:tcBorders>
              <w:top w:val="double" w:sz="4" w:space="0" w:color="auto"/>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1</w:t>
            </w:r>
            <w:r w:rsidR="00A64C5D">
              <w:rPr>
                <w:spacing w:val="2"/>
              </w:rPr>
              <w:t> </w:t>
            </w:r>
            <w:r w:rsidRPr="007C6CAB">
              <w:t>010</w:t>
            </w:r>
            <w:r w:rsidR="00A64C5D">
              <w:rPr>
                <w:spacing w:val="2"/>
              </w:rPr>
              <w:t> </w:t>
            </w:r>
            <w:r w:rsidRPr="007C6CAB">
              <w:t>025</w:t>
            </w:r>
          </w:p>
        </w:tc>
      </w:tr>
      <w:tr w:rsidR="008843FC" w:rsidRPr="00160BFF" w:rsidTr="00621FA7">
        <w:trPr>
          <w:trHeight w:val="255"/>
          <w:jc w:val="center"/>
        </w:trPr>
        <w:tc>
          <w:tcPr>
            <w:tcW w:w="2005"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8843FC" w:rsidRPr="00160BFF" w:rsidRDefault="008843FC" w:rsidP="008843FC">
            <w:pPr>
              <w:pStyle w:val="FutureTekstwtabeli"/>
            </w:pPr>
            <w:r w:rsidRPr="00160BFF">
              <w:t>Sprzedaż</w:t>
            </w:r>
          </w:p>
        </w:tc>
        <w:tc>
          <w:tcPr>
            <w:tcW w:w="1487"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160BFF" w:rsidRDefault="008843FC" w:rsidP="00A64C5D">
            <w:pPr>
              <w:pStyle w:val="FutureTekstwtabeli"/>
              <w:jc w:val="center"/>
            </w:pPr>
            <w:r w:rsidRPr="00160BFF">
              <w:t>n/</w:t>
            </w:r>
            <w:r>
              <w:t>d</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A64C5D" w:rsidP="00A64C5D">
            <w:pPr>
              <w:pStyle w:val="FutureTekstwtabeli"/>
              <w:jc w:val="center"/>
            </w:pPr>
            <w:r>
              <w:t>3</w:t>
            </w:r>
            <w:r>
              <w:rPr>
                <w:spacing w:val="2"/>
              </w:rPr>
              <w:t> </w:t>
            </w:r>
            <w:r w:rsidR="008843FC" w:rsidRPr="007C6CAB">
              <w:t>765</w:t>
            </w:r>
            <w:r>
              <w:rPr>
                <w:spacing w:val="2"/>
              </w:rPr>
              <w:t> </w:t>
            </w:r>
            <w:r w:rsidR="008843FC" w:rsidRPr="007C6CAB">
              <w:t>265</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3</w:t>
            </w:r>
            <w:r w:rsidR="00A64C5D">
              <w:rPr>
                <w:spacing w:val="2"/>
              </w:rPr>
              <w:t> </w:t>
            </w:r>
            <w:r w:rsidRPr="007C6CAB">
              <w:t>671</w:t>
            </w:r>
            <w:r w:rsidR="00A64C5D">
              <w:rPr>
                <w:spacing w:val="2"/>
              </w:rPr>
              <w:t> </w:t>
            </w:r>
            <w:r w:rsidRPr="007C6CAB">
              <w:t>970</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3</w:t>
            </w:r>
            <w:r w:rsidR="00A64C5D">
              <w:rPr>
                <w:spacing w:val="2"/>
              </w:rPr>
              <w:t> </w:t>
            </w:r>
            <w:r w:rsidRPr="007C6CAB">
              <w:t>647</w:t>
            </w:r>
            <w:r w:rsidR="00A64C5D">
              <w:rPr>
                <w:spacing w:val="2"/>
              </w:rPr>
              <w:t> </w:t>
            </w:r>
            <w:r w:rsidRPr="007C6CAB">
              <w:t>242</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2</w:t>
            </w:r>
            <w:r w:rsidR="00A64C5D">
              <w:rPr>
                <w:spacing w:val="2"/>
              </w:rPr>
              <w:t> </w:t>
            </w:r>
            <w:r w:rsidRPr="007C6CAB">
              <w:t>742</w:t>
            </w:r>
            <w:r w:rsidR="00A64C5D">
              <w:rPr>
                <w:spacing w:val="2"/>
              </w:rPr>
              <w:t> </w:t>
            </w:r>
            <w:r w:rsidRPr="007C6CAB">
              <w:t>612</w:t>
            </w:r>
          </w:p>
        </w:tc>
      </w:tr>
      <w:tr w:rsidR="008843FC" w:rsidRPr="00160BFF" w:rsidTr="00621FA7">
        <w:trPr>
          <w:trHeight w:val="255"/>
          <w:jc w:val="center"/>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8843FC" w:rsidRPr="00160BFF" w:rsidRDefault="008843FC" w:rsidP="008843FC">
            <w:pPr>
              <w:pStyle w:val="FutureTekstwtabeli"/>
            </w:pPr>
            <w:r w:rsidRPr="00160BFF">
              <w:t>Zysk operacyjny (EBIT)</w:t>
            </w:r>
          </w:p>
        </w:tc>
        <w:tc>
          <w:tcPr>
            <w:tcW w:w="1487" w:type="dxa"/>
            <w:tcBorders>
              <w:top w:val="nil"/>
              <w:left w:val="nil"/>
              <w:bottom w:val="single" w:sz="4" w:space="0" w:color="auto"/>
              <w:right w:val="single" w:sz="4" w:space="0" w:color="auto"/>
            </w:tcBorders>
            <w:shd w:val="clear" w:color="auto" w:fill="auto"/>
            <w:noWrap/>
            <w:vAlign w:val="center"/>
            <w:hideMark/>
          </w:tcPr>
          <w:p w:rsidR="008843FC" w:rsidRPr="00160BFF" w:rsidRDefault="008843FC" w:rsidP="00A64C5D">
            <w:pPr>
              <w:pStyle w:val="FutureTekstwtabeli"/>
              <w:jc w:val="center"/>
            </w:pPr>
            <w:r w:rsidRPr="00160BFF">
              <w:t>n/</w:t>
            </w:r>
            <w:r>
              <w:t>d</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265</w:t>
            </w:r>
            <w:r w:rsidR="00A64C5D">
              <w:rPr>
                <w:spacing w:val="2"/>
              </w:rPr>
              <w:t> </w:t>
            </w:r>
            <w:r w:rsidRPr="007C6CAB">
              <w:t>056</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447</w:t>
            </w:r>
            <w:r w:rsidR="00A64C5D">
              <w:rPr>
                <w:spacing w:val="2"/>
              </w:rPr>
              <w:t> </w:t>
            </w:r>
            <w:r w:rsidRPr="007C6CAB">
              <w:t>591</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368</w:t>
            </w:r>
            <w:r w:rsidR="00A64C5D">
              <w:rPr>
                <w:spacing w:val="2"/>
              </w:rPr>
              <w:t> </w:t>
            </w:r>
            <w:r w:rsidRPr="007C6CAB">
              <w:t>212</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257</w:t>
            </w:r>
            <w:r w:rsidR="00A64C5D">
              <w:rPr>
                <w:spacing w:val="2"/>
              </w:rPr>
              <w:t> </w:t>
            </w:r>
            <w:r w:rsidRPr="007C6CAB">
              <w:t>592</w:t>
            </w:r>
          </w:p>
        </w:tc>
      </w:tr>
      <w:tr w:rsidR="008843FC" w:rsidRPr="00160BFF" w:rsidTr="00621FA7">
        <w:trPr>
          <w:trHeight w:val="255"/>
          <w:jc w:val="center"/>
        </w:trPr>
        <w:tc>
          <w:tcPr>
            <w:tcW w:w="2005"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8843FC" w:rsidRPr="00160BFF" w:rsidRDefault="008843FC" w:rsidP="008843FC">
            <w:pPr>
              <w:pStyle w:val="FutureTekstwtabeli"/>
            </w:pPr>
            <w:r w:rsidRPr="00160BFF">
              <w:t>Zysk netto</w:t>
            </w:r>
          </w:p>
        </w:tc>
        <w:tc>
          <w:tcPr>
            <w:tcW w:w="1487"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160BFF" w:rsidRDefault="008843FC" w:rsidP="00A64C5D">
            <w:pPr>
              <w:pStyle w:val="FutureTekstwtabeli"/>
              <w:jc w:val="center"/>
            </w:pPr>
            <w:r w:rsidRPr="00160BFF">
              <w:t>n/</w:t>
            </w:r>
            <w:r>
              <w:t>d</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214</w:t>
            </w:r>
            <w:r w:rsidR="00A64C5D">
              <w:rPr>
                <w:spacing w:val="2"/>
              </w:rPr>
              <w:t> </w:t>
            </w:r>
            <w:r w:rsidRPr="007C6CAB">
              <w:t>520</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395</w:t>
            </w:r>
            <w:r w:rsidR="00A64C5D">
              <w:rPr>
                <w:spacing w:val="2"/>
              </w:rPr>
              <w:t> </w:t>
            </w:r>
            <w:r w:rsidRPr="007C6CAB">
              <w:t>133</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328</w:t>
            </w:r>
            <w:r w:rsidR="00A64C5D">
              <w:rPr>
                <w:spacing w:val="2"/>
              </w:rPr>
              <w:t> </w:t>
            </w:r>
            <w:r w:rsidRPr="007C6CAB">
              <w:t>555</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160</w:t>
            </w:r>
            <w:r w:rsidR="00A64C5D">
              <w:rPr>
                <w:spacing w:val="2"/>
              </w:rPr>
              <w:t> </w:t>
            </w:r>
            <w:r w:rsidRPr="007C6CAB">
              <w:t>042</w:t>
            </w:r>
          </w:p>
        </w:tc>
      </w:tr>
      <w:tr w:rsidR="008843FC" w:rsidRPr="00160BFF" w:rsidTr="00621FA7">
        <w:trPr>
          <w:trHeight w:val="255"/>
          <w:jc w:val="center"/>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8843FC" w:rsidRPr="00160BFF" w:rsidRDefault="008843FC" w:rsidP="008843FC">
            <w:pPr>
              <w:pStyle w:val="FutureTekstwtabeli"/>
            </w:pPr>
            <w:r w:rsidRPr="00160BFF">
              <w:t>ROE</w:t>
            </w:r>
          </w:p>
        </w:tc>
        <w:tc>
          <w:tcPr>
            <w:tcW w:w="1487" w:type="dxa"/>
            <w:tcBorders>
              <w:top w:val="nil"/>
              <w:left w:val="nil"/>
              <w:bottom w:val="single" w:sz="4" w:space="0" w:color="auto"/>
              <w:right w:val="single" w:sz="4" w:space="0" w:color="auto"/>
            </w:tcBorders>
            <w:shd w:val="clear" w:color="auto" w:fill="auto"/>
            <w:noWrap/>
            <w:vAlign w:val="center"/>
            <w:hideMark/>
          </w:tcPr>
          <w:p w:rsidR="008843FC" w:rsidRPr="00160BFF" w:rsidRDefault="008843FC" w:rsidP="00A64C5D">
            <w:pPr>
              <w:pStyle w:val="FutureTekstwtabeli"/>
              <w:jc w:val="center"/>
            </w:pPr>
            <w:r w:rsidRPr="00160BFF">
              <w:t>n/</w:t>
            </w:r>
            <w:r>
              <w:t>d</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45,772</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79,319</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70,427</w:t>
            </w:r>
          </w:p>
        </w:tc>
        <w:tc>
          <w:tcPr>
            <w:tcW w:w="1486" w:type="dxa"/>
            <w:tcBorders>
              <w:top w:val="nil"/>
              <w:left w:val="nil"/>
              <w:bottom w:val="single" w:sz="4" w:space="0" w:color="auto"/>
              <w:right w:val="single" w:sz="4" w:space="0" w:color="auto"/>
            </w:tcBorders>
            <w:shd w:val="clear" w:color="auto" w:fill="auto"/>
            <w:noWrap/>
            <w:vAlign w:val="center"/>
            <w:hideMark/>
          </w:tcPr>
          <w:p w:rsidR="008843FC" w:rsidRPr="007C6CAB" w:rsidRDefault="008843FC" w:rsidP="00A64C5D">
            <w:pPr>
              <w:pStyle w:val="FutureTekstwtabeli"/>
              <w:jc w:val="center"/>
            </w:pPr>
            <w:r w:rsidRPr="007C6CAB">
              <w:t>53,711</w:t>
            </w:r>
          </w:p>
        </w:tc>
      </w:tr>
      <w:tr w:rsidR="008843FC" w:rsidRPr="00160BFF" w:rsidTr="00621FA7">
        <w:trPr>
          <w:trHeight w:val="255"/>
          <w:jc w:val="center"/>
        </w:trPr>
        <w:tc>
          <w:tcPr>
            <w:tcW w:w="2005" w:type="dxa"/>
            <w:tcBorders>
              <w:top w:val="single" w:sz="4" w:space="0" w:color="auto"/>
              <w:left w:val="single" w:sz="4" w:space="0" w:color="auto"/>
              <w:bottom w:val="single" w:sz="4" w:space="0" w:color="auto"/>
              <w:right w:val="single" w:sz="4" w:space="0" w:color="auto"/>
            </w:tcBorders>
            <w:shd w:val="clear" w:color="auto" w:fill="DBE7C3"/>
            <w:noWrap/>
            <w:vAlign w:val="center"/>
            <w:hideMark/>
          </w:tcPr>
          <w:p w:rsidR="008843FC" w:rsidRPr="00160BFF" w:rsidRDefault="008843FC" w:rsidP="008843FC">
            <w:pPr>
              <w:pStyle w:val="FutureTekstwtabeli"/>
            </w:pPr>
            <w:r w:rsidRPr="00160BFF">
              <w:t>ROA</w:t>
            </w:r>
          </w:p>
        </w:tc>
        <w:tc>
          <w:tcPr>
            <w:tcW w:w="1487"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160BFF" w:rsidRDefault="008843FC" w:rsidP="00A64C5D">
            <w:pPr>
              <w:pStyle w:val="FutureTekstwtabeli"/>
              <w:jc w:val="center"/>
            </w:pPr>
            <w:r w:rsidRPr="00160BFF">
              <w:t>n/</w:t>
            </w:r>
            <w:r>
              <w:t>d</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15,399</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30,254</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28,955</w:t>
            </w:r>
          </w:p>
        </w:tc>
        <w:tc>
          <w:tcPr>
            <w:tcW w:w="1486" w:type="dxa"/>
            <w:tcBorders>
              <w:top w:val="single" w:sz="4" w:space="0" w:color="auto"/>
              <w:left w:val="nil"/>
              <w:bottom w:val="single" w:sz="4" w:space="0" w:color="auto"/>
              <w:right w:val="single" w:sz="4" w:space="0" w:color="auto"/>
            </w:tcBorders>
            <w:shd w:val="clear" w:color="auto" w:fill="DBE7C3"/>
            <w:noWrap/>
            <w:vAlign w:val="center"/>
            <w:hideMark/>
          </w:tcPr>
          <w:p w:rsidR="008843FC" w:rsidRPr="007C6CAB" w:rsidRDefault="008843FC" w:rsidP="00A64C5D">
            <w:pPr>
              <w:pStyle w:val="FutureTekstwtabeli"/>
              <w:jc w:val="center"/>
            </w:pPr>
            <w:r w:rsidRPr="007C6CAB">
              <w:t>15,845</w:t>
            </w:r>
          </w:p>
        </w:tc>
      </w:tr>
    </w:tbl>
    <w:p w:rsidR="008843FC" w:rsidRPr="00503ADA" w:rsidRDefault="008843FC" w:rsidP="008843FC">
      <w:pPr>
        <w:pStyle w:val="Futurerdo"/>
        <w:rPr>
          <w:b/>
        </w:rPr>
      </w:pPr>
      <w:r>
        <w:t xml:space="preserve">Źródło: </w:t>
      </w:r>
      <w:r w:rsidR="00621FA7">
        <w:t>jak do tab. 3</w:t>
      </w:r>
      <w:r w:rsidRPr="00503ADA">
        <w:t>.</w:t>
      </w:r>
    </w:p>
    <w:p w:rsidR="00621FA7" w:rsidRDefault="00621FA7" w:rsidP="00621FA7">
      <w:pPr>
        <w:pStyle w:val="FutureTekstpodstawowy"/>
      </w:pPr>
      <w:r>
        <w:t xml:space="preserve">Tabela </w:t>
      </w:r>
      <w:r w:rsidRPr="00E00942">
        <w:t>4</w:t>
      </w:r>
      <w:r>
        <w:t xml:space="preserve"> zawiera wybrane dane bilansowe i wskaźniki za lata 2012–2008 dla BSH Sprzęt Gospodarstwa Domowego. Przedstawiono w niej analogiczne dane jak w tab. </w:t>
      </w:r>
      <w:r w:rsidRPr="00E00942">
        <w:t>3</w:t>
      </w:r>
      <w:r>
        <w:t xml:space="preserve"> zawierającej wartości dla Zelmer SA w celu porównania skali działalności obu przedsiębiorstw.</w:t>
      </w:r>
    </w:p>
    <w:p w:rsidR="008843FC" w:rsidRDefault="00E00942" w:rsidP="008843FC">
      <w:pPr>
        <w:pStyle w:val="FutureTekstpodstawowy"/>
      </w:pPr>
      <w:r>
        <w:t>Porównując tab.</w:t>
      </w:r>
      <w:r w:rsidR="008843FC">
        <w:t xml:space="preserve"> </w:t>
      </w:r>
      <w:r w:rsidR="008843FC" w:rsidRPr="00E00942">
        <w:t>3</w:t>
      </w:r>
      <w:r>
        <w:t xml:space="preserve"> z tab.</w:t>
      </w:r>
      <w:r w:rsidR="008843FC">
        <w:t xml:space="preserve"> </w:t>
      </w:r>
      <w:r w:rsidR="008843FC" w:rsidRPr="00E00942">
        <w:t>4</w:t>
      </w:r>
      <w:r w:rsidR="008843FC">
        <w:t xml:space="preserve"> można wysunąć wniosek, iż BSH prowadzi dzi</w:t>
      </w:r>
      <w:r w:rsidR="008843FC">
        <w:t>a</w:t>
      </w:r>
      <w:r w:rsidR="008843FC">
        <w:t>łalność biznesową na znacznie szerszą skalę. Potwierdzają to wielkości akt</w:t>
      </w:r>
      <w:r w:rsidR="008843FC">
        <w:t>y</w:t>
      </w:r>
      <w:r w:rsidR="008843FC">
        <w:t>wów, sprzedaży i osiąganych zysków netto, które znaczącą odbiegają od wart</w:t>
      </w:r>
      <w:r w:rsidR="008843FC">
        <w:t>o</w:t>
      </w:r>
      <w:r w:rsidR="008843FC">
        <w:t>ści wypracowanych przez Zelmer. Wskaźniki rentowności również są wiel</w:t>
      </w:r>
      <w:r w:rsidR="008843FC">
        <w:t>o</w:t>
      </w:r>
      <w:r w:rsidR="008843FC">
        <w:t>krotnie wyższe od wartości osiąganych przez Zelmer. Niewątpliwie BSH ch</w:t>
      </w:r>
      <w:r w:rsidR="008843FC">
        <w:t>a</w:t>
      </w:r>
      <w:r w:rsidR="008843FC">
        <w:t>rakteryzuje się większą skalą działalności, ale należy jednak pamiętać, że Ze</w:t>
      </w:r>
      <w:r w:rsidR="008843FC">
        <w:t>l</w:t>
      </w:r>
      <w:r w:rsidR="008843FC">
        <w:t xml:space="preserve">mer operuje w podsektorze małego AGD, a BSH w podsektorze dużego AGD </w:t>
      </w:r>
      <w:r w:rsidR="00621FA7">
        <w:t xml:space="preserve">           </w:t>
      </w:r>
      <w:r w:rsidR="008843FC">
        <w:t>– charakterystyka produktów przekłada się na osiągane wyniki.</w:t>
      </w:r>
    </w:p>
    <w:p w:rsidR="008843FC" w:rsidRPr="008843FC" w:rsidRDefault="008843FC" w:rsidP="008843FC">
      <w:pPr>
        <w:pStyle w:val="FutureTyturozdziau"/>
      </w:pPr>
      <w:r>
        <w:t>4</w:t>
      </w:r>
      <w:r w:rsidRPr="008843FC">
        <w:t>. Próba oceny zasadności przejęcia Zelmer SA w konte</w:t>
      </w:r>
      <w:r w:rsidR="00621FA7">
        <w:t>kście rozwoju grupy kapitałowej</w:t>
      </w:r>
    </w:p>
    <w:p w:rsidR="008843FC" w:rsidRDefault="008843FC" w:rsidP="008843FC">
      <w:pPr>
        <w:pStyle w:val="FutureTekstpodstawowy"/>
      </w:pPr>
      <w:r w:rsidRPr="00900A06">
        <w:t>BSH postrzega rynek drobnego AGD jako potencjalne źródło dalszego d</w:t>
      </w:r>
      <w:r w:rsidRPr="00900A06">
        <w:t>y</w:t>
      </w:r>
      <w:r w:rsidRPr="00900A06">
        <w:t>namicznego wzrostu, co czyni go kluczowym dla nas obszarem. Dzięki wysokiej rozpoznawalnoś</w:t>
      </w:r>
      <w:r w:rsidR="00A16D9A">
        <w:t>ci</w:t>
      </w:r>
      <w:r w:rsidRPr="00900A06">
        <w:t xml:space="preserve"> marki Zelmer w jej segmencie rynku Dział Drobnego AGD BSH ma teraz szansę rozwijać się jeszcze szybciej – mówi Ralf Fuchs, dyrektor wykonawczy Globalnego Działu Drobnego AGD w BSH Bosch </w:t>
      </w:r>
      <w:proofErr w:type="spellStart"/>
      <w:r w:rsidRPr="00900A06">
        <w:t>und</w:t>
      </w:r>
      <w:proofErr w:type="spellEnd"/>
      <w:r w:rsidRPr="00900A06">
        <w:t xml:space="preserve"> Siemens</w:t>
      </w:r>
      <w:r w:rsidR="00682B21">
        <w:t xml:space="preserve"> </w:t>
      </w:r>
      <w:r w:rsidR="00682B21" w:rsidRPr="00C655E7">
        <w:t>[</w:t>
      </w:r>
      <w:r w:rsidR="00C655E7" w:rsidRPr="00E00942">
        <w:rPr>
          <w:i/>
        </w:rPr>
        <w:t>Zelmer</w:t>
      </w:r>
      <w:r w:rsidR="00C655E7" w:rsidRPr="00C655E7">
        <w:rPr>
          <w:i/>
        </w:rPr>
        <w:t xml:space="preserve"> ma</w:t>
      </w:r>
      <w:r w:rsidR="00E00942">
        <w:rPr>
          <w:i/>
        </w:rPr>
        <w:t xml:space="preserve"> nowego</w:t>
      </w:r>
      <w:r w:rsidR="00C655E7" w:rsidRPr="00C655E7">
        <w:rPr>
          <w:i/>
        </w:rPr>
        <w:t>…</w:t>
      </w:r>
      <w:r w:rsidR="00E00942">
        <w:t>,</w:t>
      </w:r>
      <w:r w:rsidR="00E00942" w:rsidRPr="00E00942">
        <w:t xml:space="preserve"> </w:t>
      </w:r>
      <w:r w:rsidR="00E00942">
        <w:t>dostęp: 04.06.2014</w:t>
      </w:r>
      <w:r w:rsidR="00682B21" w:rsidRPr="00C655E7">
        <w:t>]</w:t>
      </w:r>
      <w:r w:rsidRPr="00900A06">
        <w:t>.</w:t>
      </w:r>
    </w:p>
    <w:p w:rsidR="008843FC" w:rsidRDefault="008843FC" w:rsidP="008843FC">
      <w:pPr>
        <w:pStyle w:val="FutureTekstpodstawowy"/>
      </w:pPr>
      <w:r w:rsidRPr="00900A06">
        <w:t xml:space="preserve">Prezes niemieckiego giganta BSH Bosch Siemens Dr Kurt-Ludwig </w:t>
      </w:r>
      <w:proofErr w:type="spellStart"/>
      <w:r w:rsidRPr="00900A06">
        <w:t>Gutbe</w:t>
      </w:r>
      <w:r w:rsidRPr="00900A06">
        <w:t>r</w:t>
      </w:r>
      <w:r w:rsidRPr="00900A06">
        <w:t>let</w:t>
      </w:r>
      <w:proofErr w:type="spellEnd"/>
      <w:r w:rsidRPr="00900A06">
        <w:t xml:space="preserve"> powiedział jednemu z n</w:t>
      </w:r>
      <w:r w:rsidR="00A64C5D">
        <w:t>iemieckich portali branżowych: „</w:t>
      </w:r>
      <w:r w:rsidRPr="00900A06">
        <w:t xml:space="preserve">Jesteśmy bardzo zadowoleni z transakcji. Zintegrowanie </w:t>
      </w:r>
      <w:proofErr w:type="spellStart"/>
      <w:r w:rsidRPr="00900A06">
        <w:t>Zelmera</w:t>
      </w:r>
      <w:proofErr w:type="spellEnd"/>
      <w:r w:rsidRPr="00900A06">
        <w:t xml:space="preserve"> z grupą BSH jest ważnym kr</w:t>
      </w:r>
      <w:r w:rsidRPr="00900A06">
        <w:t>o</w:t>
      </w:r>
      <w:r w:rsidRPr="00900A06">
        <w:t>kiem w naszej strategii rozwoju. Portfel produktów i z</w:t>
      </w:r>
      <w:r w:rsidR="00621FA7">
        <w:t xml:space="preserve">motywowani pracownicy </w:t>
      </w:r>
      <w:proofErr w:type="spellStart"/>
      <w:r w:rsidR="00621FA7">
        <w:t>Zelmera</w:t>
      </w:r>
      <w:proofErr w:type="spellEnd"/>
      <w:r w:rsidR="00621FA7">
        <w:t xml:space="preserve"> S</w:t>
      </w:r>
      <w:r w:rsidRPr="00900A06">
        <w:t>A, to najlepszy sposób na realizację naszych planów</w:t>
      </w:r>
      <w:r w:rsidR="00A64C5D">
        <w:t>”</w:t>
      </w:r>
      <w:r w:rsidR="00682B21">
        <w:t xml:space="preserve"> </w:t>
      </w:r>
      <w:r w:rsidR="00682B21" w:rsidRPr="00C655E7">
        <w:t>[</w:t>
      </w:r>
      <w:r w:rsidR="00682B21" w:rsidRPr="00E00942">
        <w:rPr>
          <w:i/>
        </w:rPr>
        <w:t>Bosch i Si</w:t>
      </w:r>
      <w:r w:rsidR="00682B21" w:rsidRPr="00E00942">
        <w:rPr>
          <w:i/>
        </w:rPr>
        <w:t>e</w:t>
      </w:r>
      <w:r w:rsidR="00682B21" w:rsidRPr="00E00942">
        <w:rPr>
          <w:i/>
        </w:rPr>
        <w:t>mens</w:t>
      </w:r>
      <w:r w:rsidR="00C655E7" w:rsidRPr="00C655E7">
        <w:rPr>
          <w:i/>
        </w:rPr>
        <w:t>…</w:t>
      </w:r>
      <w:r w:rsidR="00E00942">
        <w:t>,</w:t>
      </w:r>
      <w:r w:rsidR="00E00942" w:rsidRPr="00E00942">
        <w:t xml:space="preserve"> </w:t>
      </w:r>
      <w:r w:rsidR="00E00942">
        <w:t xml:space="preserve">dostęp: </w:t>
      </w:r>
      <w:r w:rsidR="00E00942" w:rsidRPr="00682B21">
        <w:t>04.06.2014</w:t>
      </w:r>
      <w:r w:rsidR="00682B21" w:rsidRPr="00C655E7">
        <w:t>]</w:t>
      </w:r>
      <w:r w:rsidR="00A64C5D">
        <w:t>.</w:t>
      </w:r>
    </w:p>
    <w:p w:rsidR="008843FC" w:rsidRPr="00621FA7" w:rsidRDefault="008843FC" w:rsidP="00A16D9A">
      <w:pPr>
        <w:pStyle w:val="FutureTekstpodstawowy"/>
        <w:rPr>
          <w:i/>
        </w:rPr>
      </w:pPr>
      <w:r>
        <w:t xml:space="preserve">Powyższe wypowiedzi menedżerów niemieckiego koncernu jednoznacznie wskazują na strategię rozwoju polegającej na zwiększaniu </w:t>
      </w:r>
      <w:proofErr w:type="spellStart"/>
      <w:r>
        <w:t>portfolio</w:t>
      </w:r>
      <w:proofErr w:type="spellEnd"/>
      <w:r>
        <w:t xml:space="preserve"> produktów, dynamiczny wzrost w zakresie małego AGD i powiększaniu udziału w rynku europejskim. Decyzja o przejęciu z pewnością była poprzedzona wnikliwymi analizami rynkowymi. </w:t>
      </w:r>
      <w:r w:rsidRPr="008F444A">
        <w:t xml:space="preserve">Również w rocznym raporcie grupowym BSH wskazuje, iż przejęcie </w:t>
      </w:r>
      <w:proofErr w:type="spellStart"/>
      <w:r w:rsidRPr="008F444A">
        <w:t>Zelmera</w:t>
      </w:r>
      <w:proofErr w:type="spellEnd"/>
      <w:r w:rsidRPr="008F444A">
        <w:t xml:space="preserve"> wraz z nowoczesną fabry</w:t>
      </w:r>
      <w:r w:rsidR="00A64C5D">
        <w:t>ką, było istotnym posunięciem w </w:t>
      </w:r>
      <w:r w:rsidRPr="008F444A">
        <w:t xml:space="preserve">celu wzrostu udziału w rynku </w:t>
      </w:r>
      <w:r>
        <w:t>w tej części Europy z jednoczesnym poszerz</w:t>
      </w:r>
      <w:r>
        <w:t>e</w:t>
      </w:r>
      <w:r>
        <w:t xml:space="preserve">niem </w:t>
      </w:r>
      <w:proofErr w:type="spellStart"/>
      <w:r>
        <w:t>portfolio</w:t>
      </w:r>
      <w:proofErr w:type="spellEnd"/>
      <w:r>
        <w:t xml:space="preserve"> produktowego:</w:t>
      </w:r>
      <w:r w:rsidRPr="008F444A">
        <w:t xml:space="preserve"> </w:t>
      </w:r>
      <w:r w:rsidR="00A16D9A">
        <w:t>„</w:t>
      </w:r>
      <w:r w:rsidRPr="00A16D9A">
        <w:t xml:space="preserve">In </w:t>
      </w:r>
      <w:proofErr w:type="spellStart"/>
      <w:r w:rsidRPr="00A16D9A">
        <w:t>the</w:t>
      </w:r>
      <w:proofErr w:type="spellEnd"/>
      <w:r w:rsidRPr="00A16D9A">
        <w:t xml:space="preserve"> Consumer Products </w:t>
      </w:r>
      <w:proofErr w:type="spellStart"/>
      <w:r w:rsidRPr="00A16D9A">
        <w:t>Product</w:t>
      </w:r>
      <w:proofErr w:type="spellEnd"/>
      <w:r w:rsidRPr="00A16D9A">
        <w:t xml:space="preserve"> </w:t>
      </w:r>
      <w:proofErr w:type="spellStart"/>
      <w:r w:rsidRPr="00A16D9A">
        <w:t>Division</w:t>
      </w:r>
      <w:proofErr w:type="spellEnd"/>
      <w:r w:rsidRPr="00A16D9A">
        <w:t xml:space="preserve">, </w:t>
      </w:r>
      <w:proofErr w:type="spellStart"/>
      <w:r w:rsidRPr="00A16D9A">
        <w:t>the</w:t>
      </w:r>
      <w:proofErr w:type="spellEnd"/>
      <w:r w:rsidRPr="00A16D9A">
        <w:t xml:space="preserve"> </w:t>
      </w:r>
      <w:proofErr w:type="spellStart"/>
      <w:r w:rsidRPr="00A16D9A">
        <w:t>acquisition</w:t>
      </w:r>
      <w:proofErr w:type="spellEnd"/>
      <w:r w:rsidRPr="00A16D9A">
        <w:t xml:space="preserve"> of Zelmer, a </w:t>
      </w:r>
      <w:proofErr w:type="spellStart"/>
      <w:r w:rsidRPr="00A16D9A">
        <w:t>Polish</w:t>
      </w:r>
      <w:proofErr w:type="spellEnd"/>
      <w:r w:rsidRPr="00A16D9A">
        <w:t xml:space="preserve"> </w:t>
      </w:r>
      <w:proofErr w:type="spellStart"/>
      <w:r w:rsidRPr="00A16D9A">
        <w:t>maker</w:t>
      </w:r>
      <w:proofErr w:type="spellEnd"/>
      <w:r w:rsidRPr="00A16D9A">
        <w:t xml:space="preserve"> of </w:t>
      </w:r>
      <w:proofErr w:type="spellStart"/>
      <w:r w:rsidRPr="00A16D9A">
        <w:t>small</w:t>
      </w:r>
      <w:proofErr w:type="spellEnd"/>
      <w:r w:rsidRPr="00A16D9A">
        <w:t xml:space="preserve"> </w:t>
      </w:r>
      <w:proofErr w:type="spellStart"/>
      <w:r w:rsidRPr="00A16D9A">
        <w:t>home</w:t>
      </w:r>
      <w:proofErr w:type="spellEnd"/>
      <w:r w:rsidRPr="00A16D9A">
        <w:t xml:space="preserve"> </w:t>
      </w:r>
      <w:proofErr w:type="spellStart"/>
      <w:r w:rsidRPr="00A16D9A">
        <w:t>appliances</w:t>
      </w:r>
      <w:proofErr w:type="spellEnd"/>
      <w:r w:rsidRPr="00A16D9A">
        <w:t xml:space="preserve"> </w:t>
      </w:r>
      <w:proofErr w:type="spellStart"/>
      <w:r w:rsidRPr="00A16D9A">
        <w:t>with</w:t>
      </w:r>
      <w:proofErr w:type="spellEnd"/>
      <w:r w:rsidRPr="00A16D9A">
        <w:t xml:space="preserve"> an </w:t>
      </w:r>
      <w:proofErr w:type="spellStart"/>
      <w:r w:rsidRPr="00A16D9A">
        <w:t>up-to-date</w:t>
      </w:r>
      <w:proofErr w:type="spellEnd"/>
      <w:r w:rsidRPr="00A16D9A">
        <w:t xml:space="preserve"> </w:t>
      </w:r>
      <w:proofErr w:type="spellStart"/>
      <w:r w:rsidRPr="00A16D9A">
        <w:t>production</w:t>
      </w:r>
      <w:proofErr w:type="spellEnd"/>
      <w:r w:rsidRPr="00A16D9A">
        <w:t xml:space="preserve"> </w:t>
      </w:r>
      <w:proofErr w:type="spellStart"/>
      <w:r w:rsidRPr="00A16D9A">
        <w:t>site</w:t>
      </w:r>
      <w:proofErr w:type="spellEnd"/>
      <w:r w:rsidRPr="00A16D9A">
        <w:t xml:space="preserve"> </w:t>
      </w:r>
      <w:proofErr w:type="spellStart"/>
      <w:r w:rsidRPr="00A16D9A">
        <w:t>in</w:t>
      </w:r>
      <w:proofErr w:type="spellEnd"/>
      <w:r w:rsidRPr="00A16D9A">
        <w:t xml:space="preserve"> Rzeszów, Poland, was an </w:t>
      </w:r>
      <w:proofErr w:type="spellStart"/>
      <w:r w:rsidRPr="00A16D9A">
        <w:t>important</w:t>
      </w:r>
      <w:proofErr w:type="spellEnd"/>
      <w:r w:rsidRPr="00A16D9A">
        <w:t xml:space="preserve"> step </w:t>
      </w:r>
      <w:proofErr w:type="spellStart"/>
      <w:r w:rsidRPr="00A16D9A">
        <w:t>toward</w:t>
      </w:r>
      <w:proofErr w:type="spellEnd"/>
      <w:r w:rsidRPr="00A16D9A">
        <w:t xml:space="preserve"> </w:t>
      </w:r>
      <w:proofErr w:type="spellStart"/>
      <w:r w:rsidRPr="00A16D9A">
        <w:t>further</w:t>
      </w:r>
      <w:proofErr w:type="spellEnd"/>
      <w:r w:rsidRPr="00A16D9A">
        <w:t xml:space="preserve"> growth </w:t>
      </w:r>
      <w:proofErr w:type="spellStart"/>
      <w:r w:rsidRPr="00A16D9A">
        <w:t>in</w:t>
      </w:r>
      <w:proofErr w:type="spellEnd"/>
      <w:r w:rsidRPr="00A16D9A">
        <w:t xml:space="preserve"> Europe. </w:t>
      </w:r>
      <w:r w:rsidRPr="00A16D9A">
        <w:rPr>
          <w:lang w:val="en-US"/>
        </w:rPr>
        <w:t>It expanded the product portfolio in the entry-level and value segment, especially for Eastern Europe (…)</w:t>
      </w:r>
      <w:r w:rsidR="00A16D9A">
        <w:rPr>
          <w:lang w:val="en-US"/>
        </w:rPr>
        <w:t>”</w:t>
      </w:r>
      <w:r w:rsidR="00621FA7">
        <w:rPr>
          <w:i/>
          <w:lang w:val="en-US"/>
        </w:rPr>
        <w:t xml:space="preserve"> </w:t>
      </w:r>
      <w:r w:rsidR="00682B21" w:rsidRPr="00621FA7">
        <w:t>[</w:t>
      </w:r>
      <w:r w:rsidR="00682B21" w:rsidRPr="00621FA7">
        <w:rPr>
          <w:i/>
        </w:rPr>
        <w:t>B/S/H/</w:t>
      </w:r>
      <w:r w:rsidR="00682B21" w:rsidRPr="00621FA7">
        <w:t xml:space="preserve"> </w:t>
      </w:r>
      <w:proofErr w:type="spellStart"/>
      <w:r w:rsidR="00682B21" w:rsidRPr="00621FA7">
        <w:rPr>
          <w:i/>
        </w:rPr>
        <w:t>Engaging</w:t>
      </w:r>
      <w:proofErr w:type="spellEnd"/>
      <w:r w:rsidR="00C655E7" w:rsidRPr="00621FA7">
        <w:rPr>
          <w:i/>
        </w:rPr>
        <w:t>…</w:t>
      </w:r>
      <w:r w:rsidR="00621FA7" w:rsidRPr="00621FA7">
        <w:t>:</w:t>
      </w:r>
      <w:r w:rsidR="00682B21" w:rsidRPr="00621FA7">
        <w:t xml:space="preserve"> 38</w:t>
      </w:r>
      <w:r w:rsidR="00B826C0" w:rsidRPr="00621FA7">
        <w:t>, dostęp: 04.06.2014</w:t>
      </w:r>
      <w:r w:rsidR="00682B21" w:rsidRPr="00621FA7">
        <w:t>]</w:t>
      </w:r>
      <w:r w:rsidRPr="00621FA7">
        <w:t>.</w:t>
      </w:r>
    </w:p>
    <w:p w:rsidR="008843FC" w:rsidRDefault="008843FC" w:rsidP="008843FC">
      <w:pPr>
        <w:pStyle w:val="FutureTekstpodstawowy"/>
      </w:pPr>
      <w:r w:rsidRPr="00366C7A">
        <w:t xml:space="preserve">Tabela </w:t>
      </w:r>
      <w:r w:rsidR="00B826C0" w:rsidRPr="00B826C0">
        <w:t>5</w:t>
      </w:r>
      <w:r w:rsidRPr="00366C7A">
        <w:t xml:space="preserve"> zawiera analizę SWOT spółki Zelmer SA, stanowiące podsum</w:t>
      </w:r>
      <w:r w:rsidRPr="00366C7A">
        <w:t>o</w:t>
      </w:r>
      <w:r w:rsidRPr="00366C7A">
        <w:t>wanie dotychczasowych rozważań na temat rynku AGD i po</w:t>
      </w:r>
      <w:r w:rsidR="00621FA7">
        <w:t xml:space="preserve">zycji </w:t>
      </w:r>
      <w:proofErr w:type="spellStart"/>
      <w:r w:rsidR="00621FA7">
        <w:t>Zelmera</w:t>
      </w:r>
      <w:proofErr w:type="spellEnd"/>
      <w:r w:rsidR="00621FA7">
        <w:t xml:space="preserve"> na tym rynku.</w:t>
      </w:r>
    </w:p>
    <w:p w:rsidR="00621FA7" w:rsidRPr="00621FA7" w:rsidRDefault="00621FA7" w:rsidP="008843FC">
      <w:pPr>
        <w:pStyle w:val="FutureTekstpodstawowy"/>
        <w:rPr>
          <w:sz w:val="14"/>
        </w:rPr>
      </w:pPr>
    </w:p>
    <w:p w:rsidR="008843FC" w:rsidRDefault="008843FC" w:rsidP="008843FC">
      <w:pPr>
        <w:pStyle w:val="FutureRysunekTabela"/>
      </w:pPr>
      <w:r>
        <w:t>Tabela 5. Analiza SWOT spółki Zelmer SA</w:t>
      </w:r>
    </w:p>
    <w:tbl>
      <w:tblPr>
        <w:tblStyle w:val="Tabela-Siatka"/>
        <w:tblW w:w="7144" w:type="dxa"/>
        <w:jc w:val="center"/>
        <w:tblLook w:val="04A0"/>
      </w:tblPr>
      <w:tblGrid>
        <w:gridCol w:w="3535"/>
        <w:gridCol w:w="3609"/>
      </w:tblGrid>
      <w:tr w:rsidR="008843FC" w:rsidRPr="004F7DFF" w:rsidTr="00BC07CD">
        <w:trPr>
          <w:trHeight w:val="283"/>
          <w:jc w:val="center"/>
        </w:trPr>
        <w:tc>
          <w:tcPr>
            <w:tcW w:w="4606" w:type="dxa"/>
            <w:shd w:val="clear" w:color="auto" w:fill="89B137"/>
            <w:vAlign w:val="center"/>
          </w:tcPr>
          <w:p w:rsidR="008843FC" w:rsidRPr="00BC07CD" w:rsidRDefault="008843FC" w:rsidP="00B66D0E">
            <w:pPr>
              <w:pStyle w:val="FutureTekstwtabeli"/>
              <w:jc w:val="center"/>
              <w:rPr>
                <w:lang w:val="en-US"/>
              </w:rPr>
            </w:pPr>
            <w:proofErr w:type="spellStart"/>
            <w:r w:rsidRPr="00BC07CD">
              <w:rPr>
                <w:lang w:val="en-US"/>
              </w:rPr>
              <w:t>Mocne</w:t>
            </w:r>
            <w:proofErr w:type="spellEnd"/>
            <w:r w:rsidRPr="00BC07CD">
              <w:rPr>
                <w:lang w:val="en-US"/>
              </w:rPr>
              <w:t xml:space="preserve"> </w:t>
            </w:r>
            <w:proofErr w:type="spellStart"/>
            <w:r w:rsidRPr="00BC07CD">
              <w:rPr>
                <w:lang w:val="en-US"/>
              </w:rPr>
              <w:t>strony</w:t>
            </w:r>
            <w:proofErr w:type="spellEnd"/>
          </w:p>
        </w:tc>
        <w:tc>
          <w:tcPr>
            <w:tcW w:w="4606" w:type="dxa"/>
            <w:shd w:val="clear" w:color="auto" w:fill="89B137"/>
            <w:vAlign w:val="center"/>
          </w:tcPr>
          <w:p w:rsidR="008843FC" w:rsidRPr="00BC07CD" w:rsidRDefault="008843FC" w:rsidP="00B66D0E">
            <w:pPr>
              <w:pStyle w:val="FutureTekstwtabeli"/>
              <w:jc w:val="center"/>
              <w:rPr>
                <w:lang w:val="en-US"/>
              </w:rPr>
            </w:pPr>
            <w:proofErr w:type="spellStart"/>
            <w:r w:rsidRPr="00BC07CD">
              <w:rPr>
                <w:lang w:val="en-US"/>
              </w:rPr>
              <w:t>Słabe</w:t>
            </w:r>
            <w:proofErr w:type="spellEnd"/>
            <w:r w:rsidRPr="00BC07CD">
              <w:rPr>
                <w:lang w:val="en-US"/>
              </w:rPr>
              <w:t xml:space="preserve"> </w:t>
            </w:r>
            <w:proofErr w:type="spellStart"/>
            <w:r w:rsidRPr="00BC07CD">
              <w:rPr>
                <w:lang w:val="en-US"/>
              </w:rPr>
              <w:t>strony</w:t>
            </w:r>
            <w:proofErr w:type="spellEnd"/>
          </w:p>
        </w:tc>
      </w:tr>
      <w:tr w:rsidR="008843FC" w:rsidRPr="004F7DFF" w:rsidTr="00A80C72">
        <w:trPr>
          <w:jc w:val="center"/>
        </w:trPr>
        <w:tc>
          <w:tcPr>
            <w:tcW w:w="4606" w:type="dxa"/>
            <w:tcBorders>
              <w:bottom w:val="single" w:sz="4" w:space="0" w:color="auto"/>
            </w:tcBorders>
            <w:tcMar>
              <w:top w:w="57" w:type="dxa"/>
            </w:tcMar>
          </w:tcPr>
          <w:p w:rsidR="008843FC" w:rsidRPr="00BC07CD" w:rsidRDefault="008843FC" w:rsidP="00BC07CD">
            <w:pPr>
              <w:pStyle w:val="FutureTekstwtabeli"/>
              <w:ind w:left="170" w:hanging="170"/>
            </w:pPr>
            <w:r w:rsidRPr="00BC07CD">
              <w:t xml:space="preserve">Stabilna pozycja </w:t>
            </w:r>
            <w:proofErr w:type="spellStart"/>
            <w:r w:rsidRPr="00BC07CD">
              <w:t>Zelmera</w:t>
            </w:r>
            <w:proofErr w:type="spellEnd"/>
            <w:r w:rsidRPr="00BC07CD">
              <w:t xml:space="preserve"> na rynku krajowym</w:t>
            </w:r>
          </w:p>
          <w:p w:rsidR="00A64C5D" w:rsidRPr="00BC07CD" w:rsidRDefault="00A64C5D" w:rsidP="00BC07CD">
            <w:pPr>
              <w:pStyle w:val="FutureTekstwtabeli"/>
              <w:ind w:left="170" w:hanging="170"/>
              <w:rPr>
                <w:sz w:val="4"/>
                <w:szCs w:val="4"/>
              </w:rPr>
            </w:pPr>
          </w:p>
          <w:p w:rsidR="008843FC" w:rsidRPr="00BC07CD" w:rsidRDefault="008843FC" w:rsidP="00BC07CD">
            <w:pPr>
              <w:pStyle w:val="FutureTekstwtabeli"/>
              <w:ind w:left="170" w:hanging="170"/>
            </w:pPr>
            <w:r w:rsidRPr="00BC07CD">
              <w:t xml:space="preserve">Stabilna pozycja </w:t>
            </w:r>
            <w:proofErr w:type="spellStart"/>
            <w:r w:rsidRPr="00BC07CD">
              <w:t>Zelmera</w:t>
            </w:r>
            <w:proofErr w:type="spellEnd"/>
            <w:r w:rsidRPr="00BC07CD">
              <w:t xml:space="preserve"> na rynku Europy Środkowo-Wschodniej</w:t>
            </w:r>
          </w:p>
          <w:p w:rsidR="00A64C5D" w:rsidRPr="00BC07CD" w:rsidRDefault="00A64C5D" w:rsidP="00BC07CD">
            <w:pPr>
              <w:pStyle w:val="FutureTekstwtabeli"/>
              <w:ind w:left="170" w:hanging="170"/>
              <w:rPr>
                <w:sz w:val="4"/>
                <w:szCs w:val="4"/>
              </w:rPr>
            </w:pPr>
          </w:p>
          <w:p w:rsidR="008843FC" w:rsidRPr="00BC07CD" w:rsidRDefault="008843FC" w:rsidP="00BC07CD">
            <w:pPr>
              <w:pStyle w:val="FutureTekstwtabeli"/>
              <w:ind w:left="170" w:hanging="170"/>
            </w:pPr>
            <w:r w:rsidRPr="00BC07CD">
              <w:t>Bardzo dobre wyniki spółki w ciągu ostatnich kilku lat</w:t>
            </w:r>
          </w:p>
          <w:p w:rsidR="00A64C5D" w:rsidRPr="00BC07CD" w:rsidRDefault="00A64C5D" w:rsidP="00BC07CD">
            <w:pPr>
              <w:pStyle w:val="FutureTekstwtabeli"/>
              <w:ind w:left="170" w:hanging="170"/>
              <w:rPr>
                <w:sz w:val="4"/>
                <w:szCs w:val="4"/>
              </w:rPr>
            </w:pPr>
          </w:p>
          <w:p w:rsidR="008843FC" w:rsidRPr="00BC07CD" w:rsidRDefault="008843FC" w:rsidP="00BC07CD">
            <w:pPr>
              <w:pStyle w:val="FutureTekstwtabeli"/>
              <w:ind w:left="170" w:hanging="170"/>
            </w:pPr>
            <w:r w:rsidRPr="00BC07CD">
              <w:t>Nowoczesna fabryka produkcyjna</w:t>
            </w:r>
          </w:p>
          <w:p w:rsidR="00A64C5D" w:rsidRPr="00BC07CD" w:rsidRDefault="00A64C5D" w:rsidP="00BC07CD">
            <w:pPr>
              <w:pStyle w:val="FutureTekstwtabeli"/>
              <w:ind w:left="170" w:hanging="170"/>
              <w:rPr>
                <w:sz w:val="4"/>
                <w:szCs w:val="4"/>
              </w:rPr>
            </w:pPr>
          </w:p>
        </w:tc>
        <w:tc>
          <w:tcPr>
            <w:tcW w:w="4606" w:type="dxa"/>
            <w:tcBorders>
              <w:bottom w:val="single" w:sz="4" w:space="0" w:color="auto"/>
            </w:tcBorders>
            <w:tcMar>
              <w:top w:w="57" w:type="dxa"/>
            </w:tcMar>
          </w:tcPr>
          <w:p w:rsidR="008843FC" w:rsidRPr="00BC07CD" w:rsidRDefault="008843FC" w:rsidP="00BC07CD">
            <w:pPr>
              <w:pStyle w:val="FutureTekstwtabeli"/>
              <w:ind w:left="170" w:hanging="170"/>
            </w:pPr>
            <w:r w:rsidRPr="00BC07CD">
              <w:t>W porównaniu z producentami azjatyckimi, względnie droższa siła robocza</w:t>
            </w:r>
          </w:p>
          <w:p w:rsidR="00A64C5D" w:rsidRPr="00BC07CD" w:rsidRDefault="00A64C5D" w:rsidP="00BC07CD">
            <w:pPr>
              <w:pStyle w:val="FutureTekstwtabeli"/>
              <w:ind w:left="170" w:hanging="170"/>
              <w:rPr>
                <w:sz w:val="4"/>
                <w:szCs w:val="4"/>
              </w:rPr>
            </w:pPr>
          </w:p>
          <w:p w:rsidR="008843FC" w:rsidRPr="00BC07CD" w:rsidRDefault="008843FC" w:rsidP="00BC07CD">
            <w:pPr>
              <w:pStyle w:val="FutureTekstwtabeli"/>
              <w:ind w:left="170" w:hanging="170"/>
            </w:pPr>
            <w:r w:rsidRPr="00BC07CD">
              <w:t>Zróżnicowane opinie klientów na temat pr</w:t>
            </w:r>
            <w:r w:rsidRPr="00BC07CD">
              <w:t>o</w:t>
            </w:r>
            <w:r w:rsidRPr="00BC07CD">
              <w:t xml:space="preserve">duktów </w:t>
            </w:r>
            <w:proofErr w:type="spellStart"/>
            <w:r w:rsidRPr="00BC07CD">
              <w:t>Zelmera</w:t>
            </w:r>
            <w:proofErr w:type="spellEnd"/>
            <w:r w:rsidRPr="00BC07CD">
              <w:t xml:space="preserve"> (również negatywne)</w:t>
            </w:r>
            <w:r w:rsidRPr="00BC07CD">
              <w:rPr>
                <w:rStyle w:val="Odwoanieprzypisudolnego"/>
              </w:rPr>
              <w:footnoteReference w:id="3"/>
            </w:r>
          </w:p>
        </w:tc>
      </w:tr>
      <w:tr w:rsidR="008843FC" w:rsidRPr="004F7DFF" w:rsidTr="00BC07CD">
        <w:trPr>
          <w:trHeight w:val="283"/>
          <w:jc w:val="center"/>
        </w:trPr>
        <w:tc>
          <w:tcPr>
            <w:tcW w:w="4606" w:type="dxa"/>
            <w:shd w:val="clear" w:color="auto" w:fill="89B137"/>
            <w:vAlign w:val="center"/>
          </w:tcPr>
          <w:p w:rsidR="008843FC" w:rsidRPr="00BC07CD" w:rsidRDefault="008843FC" w:rsidP="00A64C5D">
            <w:pPr>
              <w:pStyle w:val="FutureTekstwtabeli"/>
              <w:jc w:val="center"/>
              <w:rPr>
                <w:lang w:val="en-US"/>
              </w:rPr>
            </w:pPr>
            <w:proofErr w:type="spellStart"/>
            <w:r w:rsidRPr="00BC07CD">
              <w:rPr>
                <w:lang w:val="en-US"/>
              </w:rPr>
              <w:t>Szanse</w:t>
            </w:r>
            <w:proofErr w:type="spellEnd"/>
          </w:p>
        </w:tc>
        <w:tc>
          <w:tcPr>
            <w:tcW w:w="4606" w:type="dxa"/>
            <w:shd w:val="clear" w:color="auto" w:fill="89B137"/>
            <w:vAlign w:val="center"/>
          </w:tcPr>
          <w:p w:rsidR="008843FC" w:rsidRPr="00BC07CD" w:rsidRDefault="008843FC" w:rsidP="00A64C5D">
            <w:pPr>
              <w:pStyle w:val="FutureTekstwtabeli"/>
              <w:jc w:val="center"/>
              <w:rPr>
                <w:lang w:val="en-US"/>
              </w:rPr>
            </w:pPr>
            <w:proofErr w:type="spellStart"/>
            <w:r w:rsidRPr="00BC07CD">
              <w:rPr>
                <w:lang w:val="en-US"/>
              </w:rPr>
              <w:t>Zagrożenia</w:t>
            </w:r>
            <w:proofErr w:type="spellEnd"/>
          </w:p>
        </w:tc>
      </w:tr>
      <w:tr w:rsidR="008843FC" w:rsidRPr="00B33A2D" w:rsidTr="00A80C72">
        <w:trPr>
          <w:jc w:val="center"/>
        </w:trPr>
        <w:tc>
          <w:tcPr>
            <w:tcW w:w="4606" w:type="dxa"/>
            <w:tcMar>
              <w:top w:w="57" w:type="dxa"/>
            </w:tcMar>
          </w:tcPr>
          <w:p w:rsidR="008843FC" w:rsidRPr="00BC07CD" w:rsidRDefault="008843FC" w:rsidP="00BC07CD">
            <w:pPr>
              <w:pStyle w:val="FutureTekstwtabeli"/>
              <w:ind w:left="170" w:hanging="170"/>
            </w:pPr>
            <w:r w:rsidRPr="00BC07CD">
              <w:t>Polska l</w:t>
            </w:r>
            <w:r w:rsidR="00A64C5D" w:rsidRPr="00BC07CD">
              <w:t>iderem producentów AGD ogółem w </w:t>
            </w:r>
            <w:r w:rsidRPr="00BC07CD">
              <w:t>Europie</w:t>
            </w:r>
          </w:p>
          <w:p w:rsidR="00A64C5D" w:rsidRPr="00BC07CD" w:rsidRDefault="00A64C5D" w:rsidP="00BC07CD">
            <w:pPr>
              <w:pStyle w:val="FutureTekstwtabeli"/>
              <w:ind w:left="170" w:hanging="170"/>
              <w:rPr>
                <w:sz w:val="4"/>
                <w:szCs w:val="4"/>
              </w:rPr>
            </w:pPr>
          </w:p>
          <w:p w:rsidR="008843FC" w:rsidRPr="00BC07CD" w:rsidRDefault="008843FC" w:rsidP="00BC07CD">
            <w:pPr>
              <w:pStyle w:val="FutureTekstwtabeli"/>
              <w:ind w:left="170" w:hanging="170"/>
            </w:pPr>
            <w:r w:rsidRPr="00BC07CD">
              <w:t>Nieustanny wzrost od kilku lat sektora AGD w Polsce</w:t>
            </w:r>
          </w:p>
          <w:p w:rsidR="00A64C5D" w:rsidRPr="00BC07CD" w:rsidRDefault="00A64C5D" w:rsidP="00BC07CD">
            <w:pPr>
              <w:pStyle w:val="FutureTekstwtabeli"/>
              <w:ind w:left="170" w:hanging="170"/>
              <w:rPr>
                <w:sz w:val="4"/>
                <w:szCs w:val="4"/>
              </w:rPr>
            </w:pPr>
          </w:p>
          <w:p w:rsidR="008843FC" w:rsidRPr="00BC07CD" w:rsidRDefault="008843FC" w:rsidP="00BC07CD">
            <w:pPr>
              <w:pStyle w:val="FutureTekstwtabeli"/>
              <w:ind w:left="170" w:hanging="170"/>
            </w:pPr>
            <w:r w:rsidRPr="00BC07CD">
              <w:t xml:space="preserve">Dobra </w:t>
            </w:r>
            <w:proofErr w:type="spellStart"/>
            <w:r w:rsidRPr="00BC07CD">
              <w:t>geolokalizacja</w:t>
            </w:r>
            <w:proofErr w:type="spellEnd"/>
            <w:r w:rsidR="00A16D9A">
              <w:t xml:space="preserve"> dla dalszego rozwoju w </w:t>
            </w:r>
            <w:r w:rsidRPr="00BC07CD">
              <w:t>Europie Środkowo-Wschodniej</w:t>
            </w:r>
          </w:p>
          <w:p w:rsidR="000254F0" w:rsidRPr="00BC07CD" w:rsidRDefault="000254F0" w:rsidP="00BC07CD">
            <w:pPr>
              <w:pStyle w:val="FutureTekstwtabeli"/>
              <w:ind w:left="170" w:hanging="170"/>
              <w:rPr>
                <w:sz w:val="4"/>
                <w:szCs w:val="4"/>
              </w:rPr>
            </w:pPr>
          </w:p>
          <w:p w:rsidR="00A64C5D" w:rsidRPr="00BC07CD" w:rsidRDefault="00A64C5D" w:rsidP="00BC07CD">
            <w:pPr>
              <w:pStyle w:val="FutureTekstwtabeli"/>
              <w:ind w:left="170" w:hanging="170"/>
              <w:rPr>
                <w:sz w:val="4"/>
                <w:szCs w:val="4"/>
              </w:rPr>
            </w:pPr>
          </w:p>
        </w:tc>
        <w:tc>
          <w:tcPr>
            <w:tcW w:w="4606" w:type="dxa"/>
            <w:tcMar>
              <w:top w:w="57" w:type="dxa"/>
            </w:tcMar>
          </w:tcPr>
          <w:p w:rsidR="008843FC" w:rsidRPr="00BC07CD" w:rsidRDefault="008843FC" w:rsidP="00BC07CD">
            <w:pPr>
              <w:pStyle w:val="FutureTekstwtabeli"/>
              <w:ind w:left="170" w:hanging="170"/>
            </w:pPr>
            <w:r w:rsidRPr="00BC07CD">
              <w:t>Konkurencyjność kosztowa producentów azjatyckich</w:t>
            </w:r>
          </w:p>
          <w:p w:rsidR="000254F0" w:rsidRPr="00BC07CD" w:rsidRDefault="000254F0" w:rsidP="00BC07CD">
            <w:pPr>
              <w:pStyle w:val="FutureTekstwtabeli"/>
              <w:ind w:left="170" w:hanging="170"/>
              <w:rPr>
                <w:sz w:val="4"/>
                <w:szCs w:val="4"/>
              </w:rPr>
            </w:pPr>
          </w:p>
          <w:p w:rsidR="008843FC" w:rsidRPr="00BC07CD" w:rsidRDefault="008843FC" w:rsidP="00BC07CD">
            <w:pPr>
              <w:pStyle w:val="FutureTekstwtabeli"/>
              <w:ind w:left="170" w:hanging="170"/>
            </w:pPr>
            <w:r w:rsidRPr="00BC07CD">
              <w:t>Względnie niskie koszty transportu małego AGD z Azji</w:t>
            </w:r>
          </w:p>
          <w:p w:rsidR="000254F0" w:rsidRPr="00BC07CD" w:rsidRDefault="000254F0" w:rsidP="00BC07CD">
            <w:pPr>
              <w:pStyle w:val="FutureTekstwtabeli"/>
              <w:ind w:left="170" w:hanging="170"/>
              <w:rPr>
                <w:sz w:val="4"/>
                <w:szCs w:val="4"/>
              </w:rPr>
            </w:pPr>
          </w:p>
          <w:p w:rsidR="008843FC" w:rsidRPr="00BC07CD" w:rsidRDefault="008843FC" w:rsidP="00BC07CD">
            <w:pPr>
              <w:pStyle w:val="FutureTekstwtabeli"/>
              <w:ind w:left="170" w:hanging="170"/>
            </w:pPr>
            <w:r w:rsidRPr="00BC07CD">
              <w:t>Możliwe zmniejszenie opłacalności produkcji małego AGD w Europie</w:t>
            </w:r>
          </w:p>
          <w:p w:rsidR="000254F0" w:rsidRPr="00BC07CD" w:rsidRDefault="000254F0" w:rsidP="00BC07CD">
            <w:pPr>
              <w:pStyle w:val="FutureTekstwtabeli"/>
              <w:ind w:left="170" w:hanging="170"/>
              <w:rPr>
                <w:sz w:val="4"/>
                <w:szCs w:val="4"/>
              </w:rPr>
            </w:pPr>
          </w:p>
        </w:tc>
      </w:tr>
    </w:tbl>
    <w:p w:rsidR="008843FC" w:rsidRPr="00A61E3C" w:rsidRDefault="008843FC" w:rsidP="00430EEB">
      <w:pPr>
        <w:pStyle w:val="Futurerdo"/>
        <w:rPr>
          <w:b/>
        </w:rPr>
      </w:pPr>
      <w:r>
        <w:t xml:space="preserve">Źródło: </w:t>
      </w:r>
      <w:r w:rsidR="00621FA7">
        <w:t>o</w:t>
      </w:r>
      <w:r w:rsidRPr="00A61E3C">
        <w:t>pracowanie własne.</w:t>
      </w:r>
    </w:p>
    <w:p w:rsidR="008843FC" w:rsidRPr="00A80C72" w:rsidRDefault="008843FC" w:rsidP="00430EEB">
      <w:pPr>
        <w:pStyle w:val="FutureTekstpodstawowy"/>
        <w:ind w:firstLine="0"/>
        <w:rPr>
          <w:sz w:val="28"/>
        </w:rPr>
      </w:pPr>
    </w:p>
    <w:p w:rsidR="00430EEB" w:rsidRDefault="00430EEB" w:rsidP="00430EEB">
      <w:pPr>
        <w:pStyle w:val="FutureTekstpodstawowy"/>
      </w:pPr>
      <w:r>
        <w:t xml:space="preserve">Stabilna pozycja </w:t>
      </w:r>
      <w:proofErr w:type="spellStart"/>
      <w:r>
        <w:t>Zelmera</w:t>
      </w:r>
      <w:proofErr w:type="spellEnd"/>
      <w:r>
        <w:t xml:space="preserve"> w regionie oraz nowoczesna fabryka produkcyjna uzasadniają duże zainteresowanie tym podmiotem ze strony inwestorów, w tym BSH. Lokalizacja zakładów produkcyjnych również sprzyja rozwojowi w tym regionie Europy, na który to ważny czynnik wskazywali zarządzający niemie</w:t>
      </w:r>
      <w:r>
        <w:t>c</w:t>
      </w:r>
      <w:r>
        <w:t>kim koncerne</w:t>
      </w:r>
      <w:r w:rsidR="000254F0">
        <w:t>m w zacytowanych wypowiedziach.</w:t>
      </w:r>
    </w:p>
    <w:p w:rsidR="00430EEB" w:rsidRDefault="00430EEB" w:rsidP="00430EEB">
      <w:pPr>
        <w:pStyle w:val="FutureTekstpodstawowy"/>
      </w:pPr>
      <w:r>
        <w:t xml:space="preserve">Ogólnie sektor AGD odnotowuje ciągły wzrost, również podsektor małego AGD, choć wzrost małego AGD jest oceniany </w:t>
      </w:r>
      <w:r w:rsidR="000254F0">
        <w:t>przez ekspertów jako niepewny i </w:t>
      </w:r>
      <w:r>
        <w:t>niedostatecznie dynamiczny, dlatego dalszy jego rozwój może być nie jedn</w:t>
      </w:r>
      <w:r>
        <w:t>o</w:t>
      </w:r>
      <w:r>
        <w:t>znaczny i należy obserwować rynek w przyszłości. Co istotne – Zelmer prod</w:t>
      </w:r>
      <w:r>
        <w:t>u</w:t>
      </w:r>
      <w:r>
        <w:t>kuje tylko małe AGD.</w:t>
      </w:r>
    </w:p>
    <w:p w:rsidR="00430EEB" w:rsidRDefault="00A16D9A" w:rsidP="00430EEB">
      <w:pPr>
        <w:pStyle w:val="FutureTekstpodstawowy"/>
      </w:pPr>
      <w:r>
        <w:t>Nie</w:t>
      </w:r>
      <w:r w:rsidR="00430EEB">
        <w:t>mniej jednak, trzeba zaznaczyć, że BSH przejął wraz ze spółką bardzo nowoczesną, gotową fabrykę produkcyjną, którą zapewne można również d</w:t>
      </w:r>
      <w:r w:rsidR="00430EEB">
        <w:t>o</w:t>
      </w:r>
      <w:r w:rsidR="00430EEB">
        <w:t>datkowymi nakładami środków zaadaptować do produkcji dużego AGD. Mimo niedostatecznie sprzyjającej koniunktury dla podsektora drobnego AGD i zn</w:t>
      </w:r>
      <w:r w:rsidR="00430EEB">
        <w:t>a</w:t>
      </w:r>
      <w:r w:rsidR="00430EEB">
        <w:t>czącej konkurencji producentów azjatyckich należy pamiętać, iż Zelmer jest liderem produkcji tego podsektora w tym regionie Europy – nie jest to fabryka nieznacząca w regionie, wręcz przeciwnie</w:t>
      </w:r>
      <w:r>
        <w:t>,</w:t>
      </w:r>
      <w:r w:rsidR="00430EEB">
        <w:t xml:space="preserve"> ma 7% udział w całej produkcji E</w:t>
      </w:r>
      <w:r w:rsidR="00430EEB">
        <w:t>u</w:t>
      </w:r>
      <w:r w:rsidR="00430EEB">
        <w:t>ropy Środkowo-Wschodniej. Można konstatować, że BSH podjęło pewne ryz</w:t>
      </w:r>
      <w:r w:rsidR="00430EEB">
        <w:t>y</w:t>
      </w:r>
      <w:r w:rsidR="00430EEB">
        <w:t>ko związane z inwestycją w zagrożony sektor, ni</w:t>
      </w:r>
      <w:r>
        <w:t>e</w:t>
      </w:r>
      <w:r w:rsidR="00430EEB">
        <w:t>mniej jednak nie kupiło po</w:t>
      </w:r>
      <w:r w:rsidR="00430EEB">
        <w:t>d</w:t>
      </w:r>
      <w:r w:rsidR="00430EEB">
        <w:t>rzędnej fabryki, ale lidera w regionie. Ponadto pamiętajmy o preferencjach ko</w:t>
      </w:r>
      <w:r w:rsidR="00430EEB">
        <w:t>n</w:t>
      </w:r>
      <w:r w:rsidR="00430EEB">
        <w:t>sumentów, zwłaszcza zachodnich, którzy będą przedkładać jakość towaru nad ich cenę – jeśli chodzi o jakość produkcja w Polsce będzie znacznie korzystniej wypadała w porównaniu z azjatyckimi odpowiednikami.</w:t>
      </w:r>
    </w:p>
    <w:p w:rsidR="00430EEB" w:rsidRDefault="00430EEB" w:rsidP="00430EEB">
      <w:pPr>
        <w:pStyle w:val="FutureTekstpodstawowy"/>
      </w:pPr>
      <w:r>
        <w:t xml:space="preserve">Należy również wspomnieć, że BSH poszerzyło w sposób znaczący </w:t>
      </w:r>
      <w:proofErr w:type="spellStart"/>
      <w:r>
        <w:t>portf</w:t>
      </w:r>
      <w:r>
        <w:t>o</w:t>
      </w:r>
      <w:r>
        <w:t>lio</w:t>
      </w:r>
      <w:proofErr w:type="spellEnd"/>
      <w:r>
        <w:t xml:space="preserve"> swoich produktów. Bosch i Siemens słyną ze sprzętu dużego AGD – pralek, zmywarek, lodówek etc. Inwestycja w rzeszowską spółkę stanowi uzupełnienie tego </w:t>
      </w:r>
      <w:proofErr w:type="spellStart"/>
      <w:r>
        <w:t>portfolio</w:t>
      </w:r>
      <w:proofErr w:type="spellEnd"/>
      <w:r>
        <w:t xml:space="preserve"> o dobra, w których dotychczas w dużym stopniu koncern się nie angażował (w porównaniu z ilością fabryk dużego AGD, liczba fabryk </w:t>
      </w:r>
      <w:r>
        <w:rPr>
          <w:i/>
        </w:rPr>
        <w:t>Cons</w:t>
      </w:r>
      <w:r>
        <w:rPr>
          <w:i/>
        </w:rPr>
        <w:t>u</w:t>
      </w:r>
      <w:r>
        <w:rPr>
          <w:i/>
        </w:rPr>
        <w:t>mer Products</w:t>
      </w:r>
      <w:r>
        <w:t xml:space="preserve"> stanowi mniejszość</w:t>
      </w:r>
      <w:r w:rsidR="00997F15">
        <w:t xml:space="preserve"> </w:t>
      </w:r>
      <w:r w:rsidR="00997F15" w:rsidRPr="00C655E7">
        <w:t>[</w:t>
      </w:r>
      <w:proofErr w:type="spellStart"/>
      <w:r w:rsidR="00C655E7" w:rsidRPr="00B826C0">
        <w:rPr>
          <w:i/>
        </w:rPr>
        <w:t>World</w:t>
      </w:r>
      <w:proofErr w:type="spellEnd"/>
      <w:r w:rsidR="00B826C0">
        <w:rPr>
          <w:i/>
        </w:rPr>
        <w:t xml:space="preserve"> Map</w:t>
      </w:r>
      <w:r w:rsidR="00C655E7" w:rsidRPr="00C655E7">
        <w:rPr>
          <w:i/>
        </w:rPr>
        <w:t>…</w:t>
      </w:r>
      <w:r w:rsidR="00B826C0">
        <w:t>,</w:t>
      </w:r>
      <w:r w:rsidR="00B826C0" w:rsidRPr="00B826C0">
        <w:t xml:space="preserve"> dostęp: 04.06.2014</w:t>
      </w:r>
      <w:r w:rsidR="00997F15" w:rsidRPr="00C655E7">
        <w:t>]</w:t>
      </w:r>
      <w:r>
        <w:t>).</w:t>
      </w:r>
    </w:p>
    <w:p w:rsidR="00430EEB" w:rsidRDefault="00430EEB" w:rsidP="00430EEB">
      <w:pPr>
        <w:pStyle w:val="FutureTekstpodstawowy"/>
      </w:pPr>
      <w:r w:rsidRPr="00A61E3C">
        <w:t xml:space="preserve">Biorąc pod uwagę dotychczasowe rozważania oraz analizę SWOT </w:t>
      </w:r>
      <w:r>
        <w:t>można ocenić</w:t>
      </w:r>
      <w:r w:rsidRPr="00A61E3C">
        <w:t xml:space="preserve"> strategię rozwoju koncernu BSH poprzez wzrost zewnętrzny jako względnie pozytywną, mimo zagrożenia ze strony azjatyckich producentów. Inne nie mniej istotne wspomniane czynniki (lider regionu, lokalizacja, now</w:t>
      </w:r>
      <w:r w:rsidRPr="00A61E3C">
        <w:t>o</w:t>
      </w:r>
      <w:r w:rsidRPr="00A61E3C">
        <w:t>czesna fabryka) przekonują do słuszności nabycia Zelmer SA przez BSH. Ek</w:t>
      </w:r>
      <w:r w:rsidRPr="00A61E3C">
        <w:t>s</w:t>
      </w:r>
      <w:r w:rsidRPr="00A61E3C">
        <w:t>perci z firm doradztwa strategicznego również</w:t>
      </w:r>
      <w:r>
        <w:t xml:space="preserve"> podzielają słuszność rozwoju grupy kapitałowej poprzez wzrost zewnętrzny na rynku AGD, który jest dosyć nasycony i mało innowacyjny: </w:t>
      </w:r>
      <w:r w:rsidRPr="00346503">
        <w:rPr>
          <w:i/>
        </w:rPr>
        <w:t xml:space="preserve">Biorąc pod uwagę, </w:t>
      </w:r>
      <w:r>
        <w:rPr>
          <w:i/>
        </w:rPr>
        <w:t>ż</w:t>
      </w:r>
      <w:r w:rsidRPr="00346503">
        <w:rPr>
          <w:i/>
        </w:rPr>
        <w:t>e ogólnie rynek AGD nie rośnie szybko, wzrost udziałów rynkowych najszybciej można osiągnąć właśnie poprzez akwizycje</w:t>
      </w:r>
      <w:r>
        <w:t xml:space="preserve"> </w:t>
      </w:r>
      <w:r w:rsidR="000254F0">
        <w:t>–</w:t>
      </w:r>
      <w:r>
        <w:t xml:space="preserve"> mówi Jacek </w:t>
      </w:r>
      <w:proofErr w:type="spellStart"/>
      <w:r>
        <w:t>Byrt</w:t>
      </w:r>
      <w:proofErr w:type="spellEnd"/>
      <w:r>
        <w:t xml:space="preserve">, partner w firmie doradztwa strategicznego </w:t>
      </w:r>
      <w:proofErr w:type="spellStart"/>
      <w:r>
        <w:t>Azimutus</w:t>
      </w:r>
      <w:proofErr w:type="spellEnd"/>
      <w:r w:rsidR="00997F15">
        <w:t xml:space="preserve"> </w:t>
      </w:r>
      <w:r w:rsidR="00997F15" w:rsidRPr="00C655E7">
        <w:t>[</w:t>
      </w:r>
      <w:r w:rsidR="00997F15" w:rsidRPr="00C655E7">
        <w:rPr>
          <w:i/>
        </w:rPr>
        <w:t>Zelmer trafi</w:t>
      </w:r>
      <w:r w:rsidR="00C655E7" w:rsidRPr="00C655E7">
        <w:rPr>
          <w:i/>
        </w:rPr>
        <w:t>…</w:t>
      </w:r>
      <w:r w:rsidR="00B826C0">
        <w:t>, dostęp: 04.06.2014</w:t>
      </w:r>
      <w:r w:rsidR="00997F15" w:rsidRPr="00C655E7">
        <w:t>]</w:t>
      </w:r>
      <w:r w:rsidRPr="00C655E7">
        <w:t>.</w:t>
      </w:r>
    </w:p>
    <w:p w:rsidR="00430EEB" w:rsidRDefault="00430EEB" w:rsidP="00430EEB">
      <w:pPr>
        <w:pStyle w:val="FutureTekstpodstawowy"/>
      </w:pPr>
      <w:r>
        <w:t>Warto przytoczyć kilka liczb z raportu rocznego grupy BSH, na które zn</w:t>
      </w:r>
      <w:r>
        <w:t>a</w:t>
      </w:r>
      <w:r>
        <w:t xml:space="preserve">czący wpływ miała akwizycja </w:t>
      </w:r>
      <w:proofErr w:type="spellStart"/>
      <w:r>
        <w:t>Zelmera</w:t>
      </w:r>
      <w:proofErr w:type="spellEnd"/>
      <w:r>
        <w:t>. W 2</w:t>
      </w:r>
      <w:r w:rsidR="004F7DFF">
        <w:t>013 r. grupa BSH osiągnęła 10,5 </w:t>
      </w:r>
      <w:r>
        <w:t>mld euro przychodu. To o 708 mln euro w</w:t>
      </w:r>
      <w:r w:rsidR="004F7DFF">
        <w:t>ięcej niż w 2012 r. z czego 149 </w:t>
      </w:r>
      <w:r>
        <w:t>milionów jest wynikiem konsolidacji sprawozdania Zelmer SA</w:t>
      </w:r>
      <w:r w:rsidR="00997F15">
        <w:t xml:space="preserve"> </w:t>
      </w:r>
      <w:r w:rsidR="00997F15" w:rsidRPr="00C655E7">
        <w:t>[</w:t>
      </w:r>
      <w:r w:rsidR="00997F15" w:rsidRPr="00A80C72">
        <w:rPr>
          <w:i/>
        </w:rPr>
        <w:t>B/S/H/</w:t>
      </w:r>
      <w:r w:rsidR="00997F15" w:rsidRPr="00C655E7">
        <w:t xml:space="preserve"> </w:t>
      </w:r>
      <w:proofErr w:type="spellStart"/>
      <w:r w:rsidR="00997F15" w:rsidRPr="00C655E7">
        <w:rPr>
          <w:i/>
        </w:rPr>
        <w:t>E</w:t>
      </w:r>
      <w:r w:rsidR="00997F15" w:rsidRPr="00C655E7">
        <w:rPr>
          <w:i/>
        </w:rPr>
        <w:t>n</w:t>
      </w:r>
      <w:r w:rsidR="00997F15" w:rsidRPr="00C655E7">
        <w:rPr>
          <w:i/>
        </w:rPr>
        <w:t>gaging</w:t>
      </w:r>
      <w:proofErr w:type="spellEnd"/>
      <w:r w:rsidR="00C655E7" w:rsidRPr="00C655E7">
        <w:rPr>
          <w:i/>
        </w:rPr>
        <w:t>…</w:t>
      </w:r>
      <w:r w:rsidR="00A80C72">
        <w:t>:</w:t>
      </w:r>
      <w:r w:rsidR="00997F15" w:rsidRPr="00C655E7">
        <w:t xml:space="preserve"> 35</w:t>
      </w:r>
      <w:r w:rsidR="00B826C0">
        <w:t>,</w:t>
      </w:r>
      <w:r w:rsidR="00B826C0" w:rsidRPr="00B826C0">
        <w:t xml:space="preserve"> dostęp: 04.06.2014</w:t>
      </w:r>
      <w:r w:rsidR="00997F15" w:rsidRPr="00C655E7">
        <w:t>]</w:t>
      </w:r>
      <w:r w:rsidR="00997F15">
        <w:t>.</w:t>
      </w:r>
      <w:r>
        <w:t xml:space="preserve"> Wartość środków trwałych i aktywów niem</w:t>
      </w:r>
      <w:r>
        <w:t>a</w:t>
      </w:r>
      <w:r>
        <w:t>terialnych powiększyła skonsolidowaną sumę</w:t>
      </w:r>
      <w:r w:rsidR="00A80C72">
        <w:t xml:space="preserve"> bilansową BSH o 109 mln euro z </w:t>
      </w:r>
      <w:r>
        <w:t xml:space="preserve">tytułu akwizycji </w:t>
      </w:r>
      <w:proofErr w:type="spellStart"/>
      <w:r>
        <w:t>Zelmera</w:t>
      </w:r>
      <w:proofErr w:type="spellEnd"/>
      <w:r w:rsidR="00997F15">
        <w:t xml:space="preserve"> </w:t>
      </w:r>
      <w:r w:rsidR="00997F15" w:rsidRPr="00C655E7">
        <w:t>[</w:t>
      </w:r>
      <w:r w:rsidR="00A80C72" w:rsidRPr="00A80C72">
        <w:rPr>
          <w:i/>
        </w:rPr>
        <w:t>B/S/H/</w:t>
      </w:r>
      <w:r w:rsidR="00A80C72" w:rsidRPr="00C655E7">
        <w:t xml:space="preserve"> </w:t>
      </w:r>
      <w:proofErr w:type="spellStart"/>
      <w:r w:rsidR="00A80C72" w:rsidRPr="00C655E7">
        <w:rPr>
          <w:i/>
        </w:rPr>
        <w:t>Engaging</w:t>
      </w:r>
      <w:proofErr w:type="spellEnd"/>
      <w:r w:rsidR="00A80C72" w:rsidRPr="00C655E7">
        <w:rPr>
          <w:i/>
        </w:rPr>
        <w:t>…</w:t>
      </w:r>
      <w:r w:rsidR="00A80C72">
        <w:t>:</w:t>
      </w:r>
      <w:r w:rsidR="00A80C72" w:rsidRPr="00C655E7">
        <w:t xml:space="preserve"> 3</w:t>
      </w:r>
      <w:r w:rsidR="00A80C72">
        <w:t>9,</w:t>
      </w:r>
      <w:r w:rsidR="00A80C72" w:rsidRPr="00B826C0">
        <w:t xml:space="preserve"> dostęp: 04.06.2014</w:t>
      </w:r>
      <w:r w:rsidR="00997F15" w:rsidRPr="00C655E7">
        <w:t>]</w:t>
      </w:r>
      <w:r>
        <w:t>.</w:t>
      </w:r>
      <w:r w:rsidR="00997F15">
        <w:t xml:space="preserve"> </w:t>
      </w:r>
      <w:r w:rsidRPr="004F7DFF">
        <w:rPr>
          <w:spacing w:val="2"/>
        </w:rPr>
        <w:t>Zapasy</w:t>
      </w:r>
      <w:r w:rsidR="000254F0" w:rsidRPr="004F7DFF">
        <w:rPr>
          <w:spacing w:val="2"/>
        </w:rPr>
        <w:t xml:space="preserve"> zwiększy</w:t>
      </w:r>
      <w:r w:rsidR="004F7DFF" w:rsidRPr="004F7DFF">
        <w:rPr>
          <w:spacing w:val="2"/>
        </w:rPr>
        <w:t xml:space="preserve">ły się o </w:t>
      </w:r>
      <w:r w:rsidRPr="004F7DFF">
        <w:rPr>
          <w:spacing w:val="2"/>
        </w:rPr>
        <w:t>65 mln euro w porównaniu z poprzednim okresem ze wzgl</w:t>
      </w:r>
      <w:r w:rsidRPr="004F7DFF">
        <w:rPr>
          <w:spacing w:val="2"/>
        </w:rPr>
        <w:t>ę</w:t>
      </w:r>
      <w:r w:rsidRPr="004F7DFF">
        <w:rPr>
          <w:spacing w:val="2"/>
        </w:rPr>
        <w:t xml:space="preserve">du na konsolidację zapasów </w:t>
      </w:r>
      <w:proofErr w:type="spellStart"/>
      <w:r w:rsidRPr="004F7DFF">
        <w:rPr>
          <w:spacing w:val="2"/>
        </w:rPr>
        <w:t>Zelmera</w:t>
      </w:r>
      <w:proofErr w:type="spellEnd"/>
      <w:r w:rsidR="00997F15" w:rsidRPr="004F7DFF">
        <w:rPr>
          <w:spacing w:val="2"/>
        </w:rPr>
        <w:t xml:space="preserve"> [</w:t>
      </w:r>
      <w:r w:rsidR="00A80C72" w:rsidRPr="00A80C72">
        <w:rPr>
          <w:i/>
        </w:rPr>
        <w:t>B/S/H/</w:t>
      </w:r>
      <w:r w:rsidR="00A80C72" w:rsidRPr="00C655E7">
        <w:t xml:space="preserve"> </w:t>
      </w:r>
      <w:proofErr w:type="spellStart"/>
      <w:r w:rsidR="00A80C72" w:rsidRPr="00C655E7">
        <w:rPr>
          <w:i/>
        </w:rPr>
        <w:t>Engaging</w:t>
      </w:r>
      <w:proofErr w:type="spellEnd"/>
      <w:r w:rsidR="00A80C72" w:rsidRPr="00C655E7">
        <w:rPr>
          <w:i/>
        </w:rPr>
        <w:t>…</w:t>
      </w:r>
      <w:r w:rsidR="00A80C72">
        <w:t>:</w:t>
      </w:r>
      <w:r w:rsidR="00A80C72" w:rsidRPr="00C655E7">
        <w:t xml:space="preserve"> </w:t>
      </w:r>
      <w:r w:rsidR="00A80C72">
        <w:t>48,</w:t>
      </w:r>
      <w:r w:rsidR="00A80C72" w:rsidRPr="00B826C0">
        <w:t xml:space="preserve"> dostęp: 04.06.2014</w:t>
      </w:r>
      <w:r w:rsidR="00997F15" w:rsidRPr="004F7DFF">
        <w:rPr>
          <w:spacing w:val="2"/>
        </w:rPr>
        <w:t>]</w:t>
      </w:r>
      <w:r w:rsidRPr="004F7DFF">
        <w:rPr>
          <w:spacing w:val="2"/>
        </w:rPr>
        <w:t xml:space="preserve">. BSH nabyło </w:t>
      </w:r>
      <w:proofErr w:type="spellStart"/>
      <w:r w:rsidRPr="004F7DFF">
        <w:rPr>
          <w:spacing w:val="2"/>
        </w:rPr>
        <w:t>Zelmera</w:t>
      </w:r>
      <w:proofErr w:type="spellEnd"/>
      <w:r w:rsidRPr="004F7DFF">
        <w:rPr>
          <w:spacing w:val="2"/>
        </w:rPr>
        <w:t xml:space="preserve"> za 146 mln euro</w:t>
      </w:r>
      <w:r w:rsidR="00997F15" w:rsidRPr="004F7DFF">
        <w:rPr>
          <w:spacing w:val="2"/>
        </w:rPr>
        <w:t xml:space="preserve"> [</w:t>
      </w:r>
      <w:r w:rsidR="00A80C72" w:rsidRPr="00A80C72">
        <w:rPr>
          <w:i/>
        </w:rPr>
        <w:t>B/S/H/</w:t>
      </w:r>
      <w:r w:rsidR="00A80C72" w:rsidRPr="00C655E7">
        <w:t xml:space="preserve"> </w:t>
      </w:r>
      <w:proofErr w:type="spellStart"/>
      <w:r w:rsidR="00A80C72" w:rsidRPr="00C655E7">
        <w:rPr>
          <w:i/>
        </w:rPr>
        <w:t>Engaging</w:t>
      </w:r>
      <w:proofErr w:type="spellEnd"/>
      <w:r w:rsidR="00A80C72" w:rsidRPr="00C655E7">
        <w:rPr>
          <w:i/>
        </w:rPr>
        <w:t>…</w:t>
      </w:r>
      <w:r w:rsidR="00A80C72">
        <w:t>:</w:t>
      </w:r>
      <w:r w:rsidR="00A80C72" w:rsidRPr="00C655E7">
        <w:t xml:space="preserve"> </w:t>
      </w:r>
      <w:r w:rsidR="00A80C72">
        <w:t>77,</w:t>
      </w:r>
      <w:r w:rsidR="00A80C72" w:rsidRPr="00B826C0">
        <w:t xml:space="preserve"> dostęp: 04.06.2014</w:t>
      </w:r>
      <w:r w:rsidR="00997F15" w:rsidRPr="004F7DFF">
        <w:rPr>
          <w:spacing w:val="2"/>
        </w:rPr>
        <w:t>]</w:t>
      </w:r>
      <w:r w:rsidRPr="004F7DFF">
        <w:rPr>
          <w:spacing w:val="2"/>
        </w:rPr>
        <w:t>.</w:t>
      </w:r>
    </w:p>
    <w:p w:rsidR="00430EEB" w:rsidRDefault="00430EEB" w:rsidP="00430EEB">
      <w:pPr>
        <w:pStyle w:val="FutureTekstpodstawowy"/>
      </w:pPr>
      <w:r>
        <w:t xml:space="preserve">BSH kontynuuje strategię rozwoju poprzez akwizycję w regionie Europy Środkowo-Wschodniej – zainteresowane jest przejęciem upadłych zakładów </w:t>
      </w:r>
      <w:proofErr w:type="spellStart"/>
      <w:r>
        <w:t>FagorMastercook</w:t>
      </w:r>
      <w:proofErr w:type="spellEnd"/>
      <w:r>
        <w:t xml:space="preserve"> we Wrocławiu (produkcja dużego AGD)</w:t>
      </w:r>
      <w:r w:rsidR="00997F15">
        <w:t xml:space="preserve"> </w:t>
      </w:r>
      <w:r w:rsidR="00997F15" w:rsidRPr="00C655E7">
        <w:t>[</w:t>
      </w:r>
      <w:r w:rsidR="00997F15" w:rsidRPr="00C655E7">
        <w:rPr>
          <w:i/>
        </w:rPr>
        <w:t>BSH Bosch Und Siemens</w:t>
      </w:r>
      <w:r w:rsidR="00C655E7" w:rsidRPr="00C655E7">
        <w:rPr>
          <w:i/>
        </w:rPr>
        <w:t>…</w:t>
      </w:r>
      <w:r w:rsidR="00B826C0">
        <w:t>,</w:t>
      </w:r>
      <w:r w:rsidR="00B826C0" w:rsidRPr="00B826C0">
        <w:t xml:space="preserve"> </w:t>
      </w:r>
      <w:r w:rsidR="00B826C0">
        <w:t>dostęp: 04.06.2014</w:t>
      </w:r>
      <w:r w:rsidR="00997F15" w:rsidRPr="00C655E7">
        <w:t>]</w:t>
      </w:r>
      <w:r>
        <w:t>.</w:t>
      </w:r>
    </w:p>
    <w:p w:rsidR="00A80C72" w:rsidRDefault="00A80C72" w:rsidP="00430EEB">
      <w:pPr>
        <w:pStyle w:val="FutureTekstpodstawowy"/>
      </w:pPr>
    </w:p>
    <w:p w:rsidR="00A80C72" w:rsidRDefault="00A80C72" w:rsidP="00430EEB">
      <w:pPr>
        <w:pStyle w:val="FutureTekstpodstawowy"/>
      </w:pPr>
    </w:p>
    <w:p w:rsidR="00A80C72" w:rsidRDefault="00A80C72" w:rsidP="00430EEB">
      <w:pPr>
        <w:pStyle w:val="FutureTekstpodstawowy"/>
      </w:pPr>
    </w:p>
    <w:p w:rsidR="005F4276" w:rsidRPr="00430EEB" w:rsidRDefault="00896A1C" w:rsidP="005F4276">
      <w:pPr>
        <w:pStyle w:val="FutureTyturozdziau"/>
      </w:pPr>
      <w:r w:rsidRPr="00430EEB">
        <w:t>PODSUMOWANIE</w:t>
      </w:r>
    </w:p>
    <w:p w:rsidR="00430EEB" w:rsidRDefault="00430EEB" w:rsidP="00430EEB">
      <w:pPr>
        <w:pStyle w:val="FutureTekstpodstawowy"/>
      </w:pPr>
      <w:r>
        <w:t xml:space="preserve">Celem niniejszego artykułu była próba oceny strategii ekspansji koncernu </w:t>
      </w:r>
      <w:r w:rsidRPr="00390199">
        <w:t xml:space="preserve">BSH Bosch </w:t>
      </w:r>
      <w:proofErr w:type="spellStart"/>
      <w:r w:rsidRPr="00390199">
        <w:t>und</w:t>
      </w:r>
      <w:proofErr w:type="spellEnd"/>
      <w:r w:rsidRPr="00390199">
        <w:t xml:space="preserve"> Siemens </w:t>
      </w:r>
      <w:proofErr w:type="spellStart"/>
      <w:r w:rsidRPr="00390199">
        <w:t>Hausgeräte</w:t>
      </w:r>
      <w:proofErr w:type="spellEnd"/>
      <w:r w:rsidRPr="00390199">
        <w:t xml:space="preserve"> </w:t>
      </w:r>
      <w:proofErr w:type="spellStart"/>
      <w:r w:rsidRPr="00390199">
        <w:t>GmbH</w:t>
      </w:r>
      <w:proofErr w:type="spellEnd"/>
      <w:r>
        <w:t xml:space="preserve"> poprzez przejęcie lidera produkcji małego AGD w Europie Środkowo-Wschodniej spółki Zelmer SA. Poddano ocenie zasadność nabycia większo</w:t>
      </w:r>
      <w:r w:rsidR="00A80C72">
        <w:t>ściowego pakietu akcji Zelmer S</w:t>
      </w:r>
      <w:r>
        <w:t>A w konte</w:t>
      </w:r>
      <w:r>
        <w:t>k</w:t>
      </w:r>
      <w:r>
        <w:t>ście rozwoju grupy kapitałowej BSH. Dokonano charakterystyki obu spółek, analizy rynku AGD oraz analizy celów rozwojowych grupy BSH.</w:t>
      </w:r>
    </w:p>
    <w:p w:rsidR="00430EEB" w:rsidRDefault="00430EEB" w:rsidP="00430EEB">
      <w:pPr>
        <w:pStyle w:val="FutureTekstpodstawowy"/>
      </w:pPr>
      <w:r>
        <w:t>Istotnym aspektem oceny zasadności podjętej transakcji jest charakterystyka podmiotu przejmowanego oraz rynku AGD w</w:t>
      </w:r>
      <w:r w:rsidR="000254F0">
        <w:t xml:space="preserve"> Europie. Liderami tego rynku w </w:t>
      </w:r>
      <w:r>
        <w:t>Europie są Niemcy, Włochy i Polska, która jest atrakcyjna ze względu na niższe koszty produkcji, jak i lokalizację. Obserwuje się przenoszenie produkcji z krajów Europy Zachodniej do Polski. Podmiot przejmowany natomiast posi</w:t>
      </w:r>
      <w:r>
        <w:t>a</w:t>
      </w:r>
      <w:r>
        <w:t>dał cechy, które były pożądane przez menedżerów BSH. Zelmer SA jest lide</w:t>
      </w:r>
      <w:r w:rsidR="004F7DFF">
        <w:t xml:space="preserve">rem w </w:t>
      </w:r>
      <w:r>
        <w:t>produkcji małego AGD w rejonie Europy Środkowo-Wschodniej, posiadający nowoczesną fabrykę, stanowił atrakcyjny cel przejęcia dla menedżerów ni</w:t>
      </w:r>
      <w:r>
        <w:t>e</w:t>
      </w:r>
      <w:r>
        <w:t xml:space="preserve">mieckiego koncernu. BSH bowiem chciało </w:t>
      </w:r>
      <w:r w:rsidR="000254F0">
        <w:t>zwiększyć swój udział rynkowy w </w:t>
      </w:r>
      <w:r>
        <w:t xml:space="preserve">tej części Europy, a zarazem zdywersyfikować działalność poprzez poszerzenie </w:t>
      </w:r>
      <w:proofErr w:type="spellStart"/>
      <w:r>
        <w:t>portfolio</w:t>
      </w:r>
      <w:proofErr w:type="spellEnd"/>
      <w:r>
        <w:t xml:space="preserve"> produktowego – Zelmer SA jako lider małego AGD spełniał te ocz</w:t>
      </w:r>
      <w:r>
        <w:t>e</w:t>
      </w:r>
      <w:r>
        <w:t>kiwania. Poprzez przejęcie jednej spółki dokonano przesunięcia udziału rynk</w:t>
      </w:r>
      <w:r>
        <w:t>o</w:t>
      </w:r>
      <w:r>
        <w:t xml:space="preserve">wego w produkcji AGD przez BSH bardziej na wschód, jak również koncern wszedł zdecydowanym krokiem w </w:t>
      </w:r>
      <w:proofErr w:type="spellStart"/>
      <w:r>
        <w:t>podsegment</w:t>
      </w:r>
      <w:proofErr w:type="spellEnd"/>
      <w:r>
        <w:t xml:space="preserve"> rynku AGD, który dotychczas nie był jego specjalizacją.</w:t>
      </w:r>
    </w:p>
    <w:p w:rsidR="00430EEB" w:rsidRDefault="00430EEB" w:rsidP="00430EEB">
      <w:pPr>
        <w:pStyle w:val="FutureTekstpodstawowy"/>
      </w:pPr>
      <w:r>
        <w:t>Zasadność dokonania wspomnianej transakcji podważały niższy niż ocz</w:t>
      </w:r>
      <w:r>
        <w:t>e</w:t>
      </w:r>
      <w:r>
        <w:t>kiwany wzrost produkcji małego AGD w Polsce w pierwszych czterech miesi</w:t>
      </w:r>
      <w:r>
        <w:t>ą</w:t>
      </w:r>
      <w:r>
        <w:t>cach 2014 r. jak również duża konkurencyjność producentów azjatyckich, kt</w:t>
      </w:r>
      <w:r>
        <w:t>ó</w:t>
      </w:r>
      <w:r>
        <w:t>rych produkty opłaca się importować. Na poziom produkcji małego AGD isto</w:t>
      </w:r>
      <w:r>
        <w:t>t</w:t>
      </w:r>
      <w:r>
        <w:t xml:space="preserve">nie wpłynął kryzys na Ukrainie, która stanowiła ważny rynek dla </w:t>
      </w:r>
      <w:proofErr w:type="spellStart"/>
      <w:r>
        <w:t>Zelmera</w:t>
      </w:r>
      <w:proofErr w:type="spellEnd"/>
      <w:r>
        <w:t>. N</w:t>
      </w:r>
      <w:r>
        <w:t>i</w:t>
      </w:r>
      <w:r>
        <w:t>skie koszty transportu i konkurencyjność cenowa producentów azjatyckich ró</w:t>
      </w:r>
      <w:r>
        <w:t>w</w:t>
      </w:r>
      <w:r>
        <w:t>nież stanowiła zagrożenie dla powodzenia transakcji.</w:t>
      </w:r>
    </w:p>
    <w:p w:rsidR="00430EEB" w:rsidRDefault="00430EEB" w:rsidP="00430EEB">
      <w:pPr>
        <w:pStyle w:val="FutureTekstpodstawowy"/>
      </w:pPr>
      <w:r>
        <w:t>Rezultatem dokonanych analiz jest konstatacja, iż podjęta strategia ekspa</w:t>
      </w:r>
      <w:r>
        <w:t>n</w:t>
      </w:r>
      <w:r>
        <w:t>sji poprzez przejęcie w przypadku transakcji nabycia Zelmer SA</w:t>
      </w:r>
      <w:r w:rsidR="00A80C72">
        <w:t xml:space="preserve"> przez Bosch           –</w:t>
      </w:r>
      <w:r>
        <w:t>Siemens była korzystna w kontekście rozwoju holdingu BSH. Zelmer SA ch</w:t>
      </w:r>
      <w:r>
        <w:t>a</w:t>
      </w:r>
      <w:r>
        <w:t>rakteryzował się cechami, które były szczególnie pożądane przez zarządzających BSH – duży udział rynkowy w regionie Europy Środkowo-Wschodniej oraz specyficzna specjalizacja w produktach małego AGD. Abstrahując od celów strategicznych podmiotu przejmującego, należy jeszcze raz zaznaczyć, iż obse</w:t>
      </w:r>
      <w:r>
        <w:t>r</w:t>
      </w:r>
      <w:r>
        <w:t>watorzy rynku AGD wskazywali przejęcia przedsiębiorstw jako najbardziej efektywny sposób ekspansji na tym względnie nasyconym rynku.</w:t>
      </w:r>
    </w:p>
    <w:p w:rsidR="00A80C72" w:rsidRDefault="00A80C72" w:rsidP="00430EEB">
      <w:pPr>
        <w:pStyle w:val="FutureTekstpodstawowy"/>
      </w:pPr>
    </w:p>
    <w:p w:rsidR="00A80C72" w:rsidRPr="00C32043" w:rsidRDefault="00A80C72" w:rsidP="00430EEB">
      <w:pPr>
        <w:pStyle w:val="FutureTekstpodstawowy"/>
      </w:pPr>
    </w:p>
    <w:p w:rsidR="000C7A44" w:rsidRPr="00430EEB" w:rsidRDefault="000C7A44" w:rsidP="000C7A44">
      <w:pPr>
        <w:pStyle w:val="FutureTyturozdziau"/>
      </w:pPr>
      <w:r w:rsidRPr="00430EEB">
        <w:t>bibliografia</w:t>
      </w:r>
    </w:p>
    <w:p w:rsidR="00115336" w:rsidRDefault="00115336" w:rsidP="00115336">
      <w:pPr>
        <w:pStyle w:val="FutureBibliografiapublikacje"/>
      </w:pPr>
      <w:r w:rsidRPr="002B1AC7">
        <w:rPr>
          <w:i/>
        </w:rPr>
        <w:t xml:space="preserve">Bosch chce przejąć </w:t>
      </w:r>
      <w:proofErr w:type="spellStart"/>
      <w:r w:rsidRPr="002B1AC7">
        <w:rPr>
          <w:i/>
        </w:rPr>
        <w:t>Zelmera</w:t>
      </w:r>
      <w:proofErr w:type="spellEnd"/>
      <w:r w:rsidRPr="002B1AC7">
        <w:rPr>
          <w:i/>
        </w:rPr>
        <w:t>. Daje 40zł za akcję</w:t>
      </w:r>
      <w:r>
        <w:t>,</w:t>
      </w:r>
      <w:r w:rsidRPr="002B1AC7">
        <w:t xml:space="preserve"> </w:t>
      </w:r>
      <w:r w:rsidRPr="00115336">
        <w:t>http://www.forbes.pl/artykuly/sekcje/Investor-GPW-aktualnosci/bosch-chce-przejac-zelmera--daje-40-zl-za-akcje,31225,1</w:t>
      </w:r>
      <w:r w:rsidR="00A80C72">
        <w:t>.</w:t>
      </w:r>
      <w:r>
        <w:t xml:space="preserve"> </w:t>
      </w:r>
    </w:p>
    <w:p w:rsidR="00115336" w:rsidRDefault="00115336" w:rsidP="00115336">
      <w:pPr>
        <w:pStyle w:val="FutureBibliografiapublikacje"/>
      </w:pPr>
      <w:r w:rsidRPr="00682B21">
        <w:rPr>
          <w:i/>
        </w:rPr>
        <w:t>Bosch i Siemens przejmują polską firmę Zelmer S.</w:t>
      </w:r>
      <w:r>
        <w:rPr>
          <w:i/>
        </w:rPr>
        <w:t xml:space="preserve"> </w:t>
      </w:r>
      <w:r w:rsidRPr="00682B21">
        <w:rPr>
          <w:i/>
        </w:rPr>
        <w:t>A.</w:t>
      </w:r>
      <w:r>
        <w:t>,</w:t>
      </w:r>
      <w:r w:rsidRPr="00682B21">
        <w:t xml:space="preserve"> </w:t>
      </w:r>
      <w:r w:rsidRPr="00115336">
        <w:t>http://biznes.onet.pl/bosch-i-siemens-przejmuja-polska-firme-zelmer-sa,18491,5453835,news-detal</w:t>
      </w:r>
      <w:r w:rsidR="002D1CDD">
        <w:t>.</w:t>
      </w:r>
    </w:p>
    <w:p w:rsidR="00115336" w:rsidRPr="00115336" w:rsidRDefault="00115336" w:rsidP="00115336">
      <w:pPr>
        <w:pStyle w:val="FutureBibliografiapublikacje"/>
        <w:ind w:left="0" w:firstLine="0"/>
      </w:pPr>
      <w:r w:rsidRPr="002B1AC7">
        <w:rPr>
          <w:i/>
        </w:rPr>
        <w:t>Branża AGD w Polsce</w:t>
      </w:r>
      <w:r>
        <w:t>,</w:t>
      </w:r>
      <w:r w:rsidRPr="002B1AC7">
        <w:rPr>
          <w:i/>
        </w:rPr>
        <w:t xml:space="preserve"> </w:t>
      </w:r>
      <w:r w:rsidRPr="00115336">
        <w:t>http://www.cecedpolska.pl/</w:t>
      </w:r>
      <w:r w:rsidR="00A80C72">
        <w:t>?m=docs&amp;i=83_117&amp;a=View&amp;idd=223</w:t>
      </w:r>
      <w:r w:rsidR="002D1CDD">
        <w:t>.</w:t>
      </w:r>
    </w:p>
    <w:p w:rsidR="00115336" w:rsidRPr="00997F15" w:rsidRDefault="00115336" w:rsidP="00115336">
      <w:pPr>
        <w:pStyle w:val="FutureBibliografiapublikacje"/>
      </w:pPr>
      <w:r w:rsidRPr="00997F15">
        <w:rPr>
          <w:i/>
        </w:rPr>
        <w:t xml:space="preserve">BSH Bosch Und Siemens </w:t>
      </w:r>
      <w:proofErr w:type="spellStart"/>
      <w:r w:rsidRPr="00997F15">
        <w:rPr>
          <w:i/>
        </w:rPr>
        <w:t>Hausgeräte</w:t>
      </w:r>
      <w:proofErr w:type="spellEnd"/>
      <w:r w:rsidRPr="00997F15">
        <w:rPr>
          <w:i/>
        </w:rPr>
        <w:t xml:space="preserve"> </w:t>
      </w:r>
      <w:proofErr w:type="spellStart"/>
      <w:r w:rsidRPr="00997F15">
        <w:rPr>
          <w:i/>
        </w:rPr>
        <w:t>GmbH</w:t>
      </w:r>
      <w:proofErr w:type="spellEnd"/>
      <w:r w:rsidRPr="00997F15">
        <w:rPr>
          <w:i/>
        </w:rPr>
        <w:t xml:space="preserve"> z siedzibą w Monachium, Niemcy</w:t>
      </w:r>
      <w:r>
        <w:t xml:space="preserve">, </w:t>
      </w:r>
      <w:r w:rsidRPr="00115336">
        <w:t>http://www.uokik.gov.pl/koncentracje.php?news_id=10938</w:t>
      </w:r>
      <w:r w:rsidR="00A80C72">
        <w:t>.</w:t>
      </w:r>
    </w:p>
    <w:p w:rsidR="00115336" w:rsidRDefault="00115336" w:rsidP="00115336">
      <w:pPr>
        <w:pStyle w:val="FutureBibliografiapublikacje"/>
        <w:rPr>
          <w:lang w:val="en-US"/>
        </w:rPr>
      </w:pPr>
      <w:r w:rsidRPr="00A80C72">
        <w:rPr>
          <w:i/>
          <w:lang w:val="en-US"/>
        </w:rPr>
        <w:t>B/S/H/</w:t>
      </w:r>
      <w:r w:rsidRPr="00B66D0E">
        <w:rPr>
          <w:lang w:val="en-US"/>
        </w:rPr>
        <w:t xml:space="preserve"> </w:t>
      </w:r>
      <w:r w:rsidRPr="00B66D0E">
        <w:rPr>
          <w:i/>
          <w:lang w:val="en-US"/>
        </w:rPr>
        <w:t>Engaging in dialog. Group Annual Report 2013</w:t>
      </w:r>
      <w:r>
        <w:rPr>
          <w:lang w:val="en-US"/>
        </w:rPr>
        <w:t>,</w:t>
      </w:r>
      <w:r w:rsidRPr="00B66D0E">
        <w:rPr>
          <w:lang w:val="en-US"/>
        </w:rPr>
        <w:t xml:space="preserve"> </w:t>
      </w:r>
      <w:r w:rsidRPr="00115336">
        <w:rPr>
          <w:lang w:val="en-US"/>
        </w:rPr>
        <w:t>http://www.bsh-group.de/</w:t>
      </w:r>
      <w:r w:rsidR="00A80C72">
        <w:rPr>
          <w:lang w:val="en-US"/>
        </w:rPr>
        <w:t xml:space="preserve"> </w:t>
      </w:r>
      <w:r w:rsidRPr="00115336">
        <w:rPr>
          <w:lang w:val="en-US"/>
        </w:rPr>
        <w:t>presse/fileadmin/publication/2014/Englisch/BSH_A</w:t>
      </w:r>
      <w:r w:rsidR="00A80C72">
        <w:rPr>
          <w:lang w:val="en-US"/>
        </w:rPr>
        <w:t>nnual_Report_2013_EN_lowres.pdf.</w:t>
      </w:r>
    </w:p>
    <w:p w:rsidR="00115336" w:rsidRDefault="00115336" w:rsidP="00115336">
      <w:pPr>
        <w:pStyle w:val="FutureBibliografiapublikacje"/>
      </w:pPr>
      <w:r w:rsidRPr="000254F0">
        <w:rPr>
          <w:i/>
        </w:rPr>
        <w:t>Dlaczego Zelmer</w:t>
      </w:r>
      <w:r>
        <w:t>,</w:t>
      </w:r>
      <w:r w:rsidRPr="000254F0">
        <w:t xml:space="preserve"> </w:t>
      </w:r>
      <w:r w:rsidRPr="00115336">
        <w:t>http</w:t>
      </w:r>
      <w:r w:rsidR="00A80C72">
        <w:t>://www.zelmer.pl/dlaczego-zelmer.</w:t>
      </w:r>
    </w:p>
    <w:p w:rsidR="00115336" w:rsidRPr="00115336" w:rsidRDefault="00115336" w:rsidP="00115336">
      <w:pPr>
        <w:pStyle w:val="FutureBibliografiapublikacje"/>
      </w:pPr>
      <w:r w:rsidRPr="00ED7814">
        <w:rPr>
          <w:i/>
        </w:rPr>
        <w:t>Eksperci BRE: Polska największym producentem sprzętu AGD w Europie</w:t>
      </w:r>
      <w:r w:rsidR="00B55B66">
        <w:t>,</w:t>
      </w:r>
      <w:r w:rsidRPr="00ED7814">
        <w:t xml:space="preserve"> </w:t>
      </w:r>
      <w:r w:rsidRPr="00B55B66">
        <w:t>http://media.mbank.pl/</w:t>
      </w:r>
      <w:r w:rsidR="00A80C72">
        <w:t xml:space="preserve"> </w:t>
      </w:r>
      <w:r w:rsidRPr="00B55B66">
        <w:t>pr/232537/eksperci-bre-polska-najwiekszym-producentem-sprzetu-agd-w-europie</w:t>
      </w:r>
      <w:r w:rsidR="00A80C72">
        <w:t>.</w:t>
      </w:r>
    </w:p>
    <w:p w:rsidR="00430EEB" w:rsidRDefault="00430EEB" w:rsidP="00B66D0E">
      <w:pPr>
        <w:pStyle w:val="FutureBibliografiapublikacje"/>
      </w:pPr>
      <w:r>
        <w:t xml:space="preserve">Frąckowiak W. (red.), </w:t>
      </w:r>
      <w:r w:rsidR="00A80C72">
        <w:t xml:space="preserve">2009, </w:t>
      </w:r>
      <w:r w:rsidRPr="00B66D0E">
        <w:rPr>
          <w:i/>
        </w:rPr>
        <w:t>Fuzje i przejęcia</w:t>
      </w:r>
      <w:r w:rsidR="00A80C72">
        <w:t>, PWE, Warszawa</w:t>
      </w:r>
      <w:r w:rsidR="002D1CDD">
        <w:t>.</w:t>
      </w:r>
    </w:p>
    <w:p w:rsidR="00430EEB" w:rsidRDefault="00430EEB" w:rsidP="00B66D0E">
      <w:pPr>
        <w:pStyle w:val="FutureBibliografiapublikacje"/>
      </w:pPr>
      <w:bookmarkStart w:id="2" w:name="_GoBack"/>
      <w:bookmarkEnd w:id="2"/>
      <w:r>
        <w:t>Pierścionek Z.,</w:t>
      </w:r>
      <w:r w:rsidR="00A80C72">
        <w:t xml:space="preserve"> 2003,</w:t>
      </w:r>
      <w:r>
        <w:t xml:space="preserve"> </w:t>
      </w:r>
      <w:r w:rsidRPr="00B66D0E">
        <w:rPr>
          <w:i/>
        </w:rPr>
        <w:t>Strategie konkurencji i rozwoju przedsiębiorstwa</w:t>
      </w:r>
      <w:r w:rsidR="00A80C72">
        <w:t>, Wydawnictwo</w:t>
      </w:r>
      <w:r>
        <w:t xml:space="preserve"> Naukowe PWN, Warsza</w:t>
      </w:r>
      <w:r w:rsidR="00A80C72">
        <w:t>wa</w:t>
      </w:r>
      <w:r w:rsidR="002D1CDD">
        <w:t>.</w:t>
      </w:r>
    </w:p>
    <w:p w:rsidR="002B1AC7" w:rsidRDefault="00430EEB" w:rsidP="00115336">
      <w:pPr>
        <w:pStyle w:val="FutureBibliografiapublikacje"/>
      </w:pPr>
      <w:proofErr w:type="spellStart"/>
      <w:r>
        <w:t>Pomykalska</w:t>
      </w:r>
      <w:proofErr w:type="spellEnd"/>
      <w:r>
        <w:t xml:space="preserve"> B., </w:t>
      </w:r>
      <w:proofErr w:type="spellStart"/>
      <w:r>
        <w:t>Pomykalski</w:t>
      </w:r>
      <w:proofErr w:type="spellEnd"/>
      <w:r>
        <w:t xml:space="preserve"> P., </w:t>
      </w:r>
      <w:r w:rsidR="00A80C72">
        <w:t xml:space="preserve">2008, </w:t>
      </w:r>
      <w:r w:rsidRPr="00B66D0E">
        <w:rPr>
          <w:i/>
        </w:rPr>
        <w:t>Analiza finansowa przedsiębiorstwa</w:t>
      </w:r>
      <w:r w:rsidR="00A80C72">
        <w:t>, Wydawnictwo</w:t>
      </w:r>
      <w:r>
        <w:t xml:space="preserve"> </w:t>
      </w:r>
      <w:r w:rsidRPr="00B55B66">
        <w:t>N</w:t>
      </w:r>
      <w:r w:rsidRPr="00B55B66">
        <w:t>a</w:t>
      </w:r>
      <w:r w:rsidRPr="00B55B66">
        <w:t>ukowe PWN, War</w:t>
      </w:r>
      <w:r w:rsidR="00A80C72">
        <w:t>szawa</w:t>
      </w:r>
      <w:r w:rsidR="002D1CDD">
        <w:t>.</w:t>
      </w:r>
    </w:p>
    <w:p w:rsidR="00DE3C66" w:rsidRDefault="00DE3C66" w:rsidP="00DE3C66">
      <w:pPr>
        <w:pStyle w:val="FutureBibliografiapublikacje"/>
        <w:rPr>
          <w:i/>
        </w:rPr>
      </w:pPr>
      <w:r w:rsidRPr="00EA235E">
        <w:rPr>
          <w:i/>
        </w:rPr>
        <w:t>Produkcja AGD w Polsce w 2013</w:t>
      </w:r>
      <w:r>
        <w:t xml:space="preserve">, CECED Polska, </w:t>
      </w:r>
      <w:r w:rsidRPr="00EA235E">
        <w:t>http://www.cecedpolska.pl/download.</w:t>
      </w:r>
      <w:r w:rsidR="00A80C72">
        <w:t xml:space="preserve"> </w:t>
      </w:r>
      <w:r w:rsidRPr="00EA235E">
        <w:t>php?f=88b2362cff.pdf&amp;t=i2d</w:t>
      </w:r>
      <w:r w:rsidR="00A80C72">
        <w:t>.</w:t>
      </w:r>
    </w:p>
    <w:p w:rsidR="00DE3C66" w:rsidRPr="00DE3C66" w:rsidRDefault="00DE3C66" w:rsidP="00DE3C66">
      <w:pPr>
        <w:pStyle w:val="FutureBibliografiapublikacje"/>
        <w:rPr>
          <w:b/>
        </w:rPr>
      </w:pPr>
      <w:r w:rsidRPr="004F7DFF">
        <w:rPr>
          <w:i/>
        </w:rPr>
        <w:t xml:space="preserve">Produkcja AGD w Polsce </w:t>
      </w:r>
      <w:proofErr w:type="spellStart"/>
      <w:r w:rsidRPr="004F7DFF">
        <w:rPr>
          <w:i/>
        </w:rPr>
        <w:t>I–IV</w:t>
      </w:r>
      <w:proofErr w:type="spellEnd"/>
      <w:r w:rsidRPr="004F7DFF">
        <w:rPr>
          <w:i/>
        </w:rPr>
        <w:t xml:space="preserve"> 2014</w:t>
      </w:r>
      <w:r w:rsidRPr="00A556F6">
        <w:t>, CECED Polska</w:t>
      </w:r>
      <w:r>
        <w:t xml:space="preserve">, </w:t>
      </w:r>
      <w:r w:rsidRPr="00A556F6">
        <w:t>http://www.cecedpolska.pl/download.</w:t>
      </w:r>
      <w:r w:rsidR="00A80C72">
        <w:t xml:space="preserve"> </w:t>
      </w:r>
      <w:r w:rsidRPr="00A556F6">
        <w:t>php?f=cdaf9cb70e.pdf&amp;t=i2d</w:t>
      </w:r>
      <w:r w:rsidR="00A80C72">
        <w:t>.</w:t>
      </w:r>
    </w:p>
    <w:p w:rsidR="00682B21" w:rsidRDefault="00682B21" w:rsidP="00B66D0E">
      <w:pPr>
        <w:pStyle w:val="FutureBibliografiapublikacje"/>
      </w:pPr>
      <w:r w:rsidRPr="00682B21">
        <w:rPr>
          <w:i/>
        </w:rPr>
        <w:t>Profil firmy 2014</w:t>
      </w:r>
      <w:r w:rsidR="00B55B66">
        <w:t xml:space="preserve">, </w:t>
      </w:r>
      <w:r w:rsidR="00B55B66" w:rsidRPr="00B55B66">
        <w:t>http://www.bsh-group.pl/</w:t>
      </w:r>
      <w:r w:rsidR="00A80C72">
        <w:t>.</w:t>
      </w:r>
    </w:p>
    <w:p w:rsidR="00ED7814" w:rsidRDefault="00ED7814" w:rsidP="00B66D0E">
      <w:pPr>
        <w:pStyle w:val="FutureBibliografiapublikacje"/>
      </w:pPr>
      <w:r w:rsidRPr="00ED7814">
        <w:rPr>
          <w:i/>
        </w:rPr>
        <w:t>Ukraina wpływa na rynek AGD</w:t>
      </w:r>
      <w:r w:rsidR="00B55B66">
        <w:t>,</w:t>
      </w:r>
      <w:r w:rsidRPr="00ED7814">
        <w:t xml:space="preserve"> </w:t>
      </w:r>
      <w:r w:rsidRPr="00B55B66">
        <w:t>http://www.ekonomia.rp.pl/artykul/1105640.html</w:t>
      </w:r>
      <w:r w:rsidR="00A80C72">
        <w:t>.</w:t>
      </w:r>
    </w:p>
    <w:p w:rsidR="00997F15" w:rsidRPr="00997F15" w:rsidRDefault="00997F15" w:rsidP="00B66D0E">
      <w:pPr>
        <w:pStyle w:val="FutureBibliografiapublikacje"/>
        <w:rPr>
          <w:lang w:val="en-US"/>
        </w:rPr>
      </w:pPr>
      <w:r w:rsidRPr="00997F15">
        <w:rPr>
          <w:i/>
          <w:lang w:val="en-US"/>
        </w:rPr>
        <w:t>World Map</w:t>
      </w:r>
      <w:r w:rsidR="00B55B66">
        <w:rPr>
          <w:lang w:val="en-US"/>
        </w:rPr>
        <w:t xml:space="preserve">, </w:t>
      </w:r>
      <w:r w:rsidR="00B55B66" w:rsidRPr="00B55B66">
        <w:rPr>
          <w:lang w:val="en-US"/>
        </w:rPr>
        <w:t>http://www.bsh-group.com/index.php?page=128123&amp;language=uk</w:t>
      </w:r>
      <w:r w:rsidR="00A80C72">
        <w:rPr>
          <w:lang w:val="en-US"/>
        </w:rPr>
        <w:t>.</w:t>
      </w:r>
    </w:p>
    <w:p w:rsidR="00682B21" w:rsidRDefault="00682B21" w:rsidP="00B66D0E">
      <w:pPr>
        <w:pStyle w:val="FutureBibliografiapublikacje"/>
      </w:pPr>
      <w:r w:rsidRPr="00682B21">
        <w:rPr>
          <w:i/>
        </w:rPr>
        <w:t>Zelmer ma nowego właściciela</w:t>
      </w:r>
      <w:r w:rsidR="00B55B66">
        <w:t xml:space="preserve">, </w:t>
      </w:r>
      <w:r w:rsidR="00B55B66" w:rsidRPr="00B55B66">
        <w:t>http://www.naszdziennik.pl/ekonomia-gospodarka/27884,zelmer-ma-nowego-wlasciciela.html</w:t>
      </w:r>
      <w:r w:rsidR="00A80C72">
        <w:t>.</w:t>
      </w:r>
    </w:p>
    <w:p w:rsidR="00ED7814" w:rsidRPr="000254F0" w:rsidRDefault="00ED7814" w:rsidP="00C655E7">
      <w:pPr>
        <w:pStyle w:val="FutureBibliografiapublikacje"/>
      </w:pPr>
      <w:r w:rsidRPr="00ED7814">
        <w:rPr>
          <w:i/>
        </w:rPr>
        <w:t>Zelmer trafi w ręce Boscha. Stawką walka o pozycję lidera AGD w regionie</w:t>
      </w:r>
      <w:r w:rsidR="00B55B66">
        <w:t>,</w:t>
      </w:r>
      <w:r w:rsidRPr="00ED7814">
        <w:t xml:space="preserve"> </w:t>
      </w:r>
      <w:r w:rsidR="00B55B66" w:rsidRPr="00B55B66">
        <w:t>http://wyborcza.biz/biznes/1,100896,13153344,Zelmer_trafi_w_rece_Bos</w:t>
      </w:r>
      <w:r w:rsidR="00A80C72">
        <w:t>cha__Stawka_walka_o_pozycje.html.</w:t>
      </w:r>
    </w:p>
    <w:p w:rsidR="00430EEB" w:rsidRPr="00430EEB" w:rsidRDefault="00430EEB" w:rsidP="000C7A44">
      <w:pPr>
        <w:pStyle w:val="FutureTitleinEnglish"/>
        <w:rPr>
          <w:lang w:val="en-US"/>
        </w:rPr>
      </w:pPr>
      <w:r w:rsidRPr="00430EEB">
        <w:rPr>
          <w:lang w:val="en-US"/>
        </w:rPr>
        <w:t>An attempt to assess expansion strategy through acquisition based upon Bosch</w:t>
      </w:r>
      <w:r w:rsidR="00A16D9A">
        <w:rPr>
          <w:lang w:val="en-US"/>
        </w:rPr>
        <w:t>–</w:t>
      </w:r>
      <w:r w:rsidRPr="00430EEB">
        <w:rPr>
          <w:lang w:val="en-US"/>
        </w:rPr>
        <w:t xml:space="preserve">Siemens and Zelmer transaction </w:t>
      </w:r>
    </w:p>
    <w:p w:rsidR="00430EEB" w:rsidRDefault="00430EEB" w:rsidP="00430EEB">
      <w:pPr>
        <w:pStyle w:val="FutureAbstract"/>
      </w:pPr>
      <w:r w:rsidRPr="008147FA">
        <w:t>Mergers and acquisitions are</w:t>
      </w:r>
      <w:r>
        <w:t xml:space="preserve"> a significant strategy of companies’ development in the present globalized economy. An expansion through acquisition has been </w:t>
      </w:r>
      <w:proofErr w:type="spellStart"/>
      <w:r>
        <w:t>choosen</w:t>
      </w:r>
      <w:proofErr w:type="spellEnd"/>
      <w:r>
        <w:t xml:space="preserve"> by BSH group, which took over </w:t>
      </w:r>
      <w:proofErr w:type="spellStart"/>
      <w:r>
        <w:t>Zelmer</w:t>
      </w:r>
      <w:proofErr w:type="spellEnd"/>
      <w:r>
        <w:t xml:space="preserve"> SA company – Central and Eastern Europe leader in production of small home appliances. BSH is a global manufacturer of home appliances. The article analyzes both companies and the reasonableness of the transaction in the context of BSH group development. The author assessed that the transaction contributed to growth of the group’s market share in Central and Eastern Europe. Furthermore, the transaction also contributed to expansion of the group’s product portfolio.</w:t>
      </w:r>
    </w:p>
    <w:p w:rsidR="00F04409" w:rsidRPr="00430EEB" w:rsidRDefault="00A1476D" w:rsidP="004F7DFF">
      <w:pPr>
        <w:pStyle w:val="FutureKeywords"/>
      </w:pPr>
      <w:r w:rsidRPr="00430EEB">
        <w:t xml:space="preserve">Key words: </w:t>
      </w:r>
      <w:r w:rsidR="00430EEB" w:rsidRPr="00430EEB">
        <w:t>mergers and acquisitions, strategic management, company’s strategy, development strategy, external growth, home appliances</w:t>
      </w:r>
      <w:r w:rsidRPr="00430EEB">
        <w:t>.</w:t>
      </w:r>
    </w:p>
    <w:sectPr w:rsidR="00F04409" w:rsidRPr="00430EEB" w:rsidSect="0090776E">
      <w:headerReference w:type="even" r:id="rId8"/>
      <w:headerReference w:type="default" r:id="rId9"/>
      <w:footerReference w:type="even" r:id="rId10"/>
      <w:footerReference w:type="default" r:id="rId11"/>
      <w:headerReference w:type="first" r:id="rId12"/>
      <w:footerReference w:type="first" r:id="rId13"/>
      <w:pgSz w:w="10093" w:h="14181" w:code="143"/>
      <w:pgMar w:top="1588" w:right="1474" w:bottom="1758" w:left="1474" w:header="1021" w:footer="284" w:gutter="0"/>
      <w:pgNumType w:start="67"/>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469" w:rsidRDefault="00072469">
      <w:r>
        <w:separator/>
      </w:r>
    </w:p>
  </w:endnote>
  <w:endnote w:type="continuationSeparator" w:id="0">
    <w:p w:rsidR="00072469" w:rsidRDefault="00072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69" w:rsidRDefault="00992FEE">
    <w:pPr>
      <w:pStyle w:val="Stopka"/>
      <w:ind w:right="360" w:firstLine="360"/>
    </w:pPr>
    <w:r w:rsidRPr="00992FEE">
      <w:rPr>
        <w:rFonts w:ascii="Cambria" w:hAnsi="Cambria"/>
        <w:noProof/>
        <w:sz w:val="28"/>
        <w:szCs w:val="28"/>
      </w:rPr>
      <w:pict>
        <v:group id="_x0000_s2076" style="position:absolute;left:0;text-align:left;margin-left:-9.05pt;margin-top:-59.2pt;width:366.2pt;height:39.75pt;z-index:251662336" coordorigin="1010,12104" coordsize="7324,795">
          <v:shapetype id="_x0000_t202" coordsize="21600,21600" o:spt="202" path="m,l,21600r21600,l21600,xe">
            <v:stroke joinstyle="miter"/>
            <v:path gradientshapeok="t" o:connecttype="rect"/>
          </v:shapetype>
          <v:shape id="_x0000_s2073" type="#_x0000_t202" style="position:absolute;left:1191;top:12104;width:7143;height:795" fillcolor="#676c72" stroked="f" strokecolor="#676c72">
            <v:fill opacity="0"/>
            <v:textbox style="mso-next-textbox:#_x0000_s2073" inset=".5mm,.7mm,.5mm,0">
              <w:txbxContent>
                <w:p w:rsidR="00072469" w:rsidRDefault="00072469" w:rsidP="008724A4">
                  <w:pPr>
                    <w:spacing w:line="240" w:lineRule="auto"/>
                    <w:jc w:val="center"/>
                    <w:rPr>
                      <w:rFonts w:ascii="Arial Narrow" w:hAnsi="Arial Narrow"/>
                      <w:color w:val="89B137"/>
                      <w:szCs w:val="18"/>
                    </w:rPr>
                  </w:pPr>
                </w:p>
                <w:p w:rsidR="00072469" w:rsidRPr="00065171" w:rsidRDefault="00072469" w:rsidP="008724A4">
                  <w:pPr>
                    <w:spacing w:line="240" w:lineRule="auto"/>
                    <w:jc w:val="center"/>
                    <w:rPr>
                      <w:rFonts w:ascii="Arial Narrow" w:hAnsi="Arial Narrow"/>
                      <w:color w:val="89B137"/>
                      <w:szCs w:val="26"/>
                    </w:rPr>
                  </w:pPr>
                </w:p>
                <w:p w:rsidR="00072469" w:rsidRPr="00065171" w:rsidRDefault="00072469" w:rsidP="008724A4">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2" type="#_x0000_t176" style="position:absolute;left:1010;top:12304;width:807;height:567;rotation:360;mso-position-horizontal-relative:page;mso-position-vertical-relative:page" adj="2672,2486" filled="f" fillcolor="#4f81bd" stroked="f" strokecolor="#737373">
            <v:fill color2="#a7bfde" type="pattern"/>
            <v:textbox style="mso-next-textbox:#_x0000_s2072">
              <w:txbxContent>
                <w:p w:rsidR="00072469" w:rsidRPr="008724A4" w:rsidRDefault="00992FEE" w:rsidP="008724A4">
                  <w:pPr>
                    <w:pStyle w:val="Stopka"/>
                    <w:pBdr>
                      <w:top w:val="single" w:sz="12" w:space="1" w:color="9BBB59"/>
                      <w:bottom w:val="single" w:sz="48" w:space="1" w:color="9BBB59"/>
                    </w:pBdr>
                    <w:spacing w:line="240" w:lineRule="auto"/>
                    <w:jc w:val="center"/>
                    <w:rPr>
                      <w:sz w:val="18"/>
                      <w:szCs w:val="18"/>
                    </w:rPr>
                  </w:pPr>
                  <w:r w:rsidRPr="008724A4">
                    <w:rPr>
                      <w:sz w:val="18"/>
                      <w:szCs w:val="18"/>
                    </w:rPr>
                    <w:fldChar w:fldCharType="begin"/>
                  </w:r>
                  <w:r w:rsidR="00072469" w:rsidRPr="008724A4">
                    <w:rPr>
                      <w:sz w:val="18"/>
                      <w:szCs w:val="18"/>
                    </w:rPr>
                    <w:instrText xml:space="preserve"> PAGE    \* MERGEFORMAT </w:instrText>
                  </w:r>
                  <w:r w:rsidRPr="008724A4">
                    <w:rPr>
                      <w:sz w:val="18"/>
                      <w:szCs w:val="18"/>
                    </w:rPr>
                    <w:fldChar w:fldCharType="separate"/>
                  </w:r>
                  <w:r w:rsidR="00A16D9A">
                    <w:rPr>
                      <w:noProof/>
                      <w:sz w:val="18"/>
                      <w:szCs w:val="18"/>
                    </w:rPr>
                    <w:t>76</w:t>
                  </w:r>
                  <w:r w:rsidRPr="008724A4">
                    <w:rPr>
                      <w:sz w:val="18"/>
                      <w:szCs w:val="18"/>
                    </w:rPr>
                    <w:fldChar w:fldCharType="end"/>
                  </w:r>
                </w:p>
              </w:txbxContent>
            </v:textbox>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69" w:rsidRDefault="00992FEE">
    <w:pPr>
      <w:pStyle w:val="Stopka"/>
      <w:ind w:right="360" w:firstLine="360"/>
    </w:pPr>
    <w:r w:rsidRPr="00992FEE">
      <w:rPr>
        <w:rFonts w:ascii="Cambria" w:hAnsi="Cambria"/>
        <w:noProof/>
        <w:sz w:val="28"/>
        <w:szCs w:val="28"/>
      </w:rPr>
      <w:pict>
        <v:group id="_x0000_s2077" style="position:absolute;left:0;text-align:left;margin-left:-1.8pt;margin-top:-59.2pt;width:364.85pt;height:39.75pt;z-index:251663360" coordorigin="1181,12104" coordsize="7297,795">
          <v:shapetype id="_x0000_t202" coordsize="21600,21600" o:spt="202" path="m,l,21600r21600,l21600,xe">
            <v:stroke joinstyle="miter"/>
            <v:path gradientshapeok="t" o:connecttype="rect"/>
          </v:shapetype>
          <v:shape id="_x0000_s2078" type="#_x0000_t202" style="position:absolute;left:1181;top:12104;width:7143;height:795" fillcolor="#676c72" stroked="f" strokecolor="#676c72">
            <v:fill opacity="0"/>
            <v:textbox style="mso-next-textbox:#_x0000_s2078" inset=".5mm,.7mm,.5mm,0">
              <w:txbxContent>
                <w:p w:rsidR="00072469" w:rsidRDefault="00072469" w:rsidP="00896A1C">
                  <w:pPr>
                    <w:spacing w:line="240" w:lineRule="auto"/>
                    <w:jc w:val="center"/>
                    <w:rPr>
                      <w:rFonts w:ascii="Arial Narrow" w:hAnsi="Arial Narrow"/>
                      <w:color w:val="89B137"/>
                      <w:szCs w:val="18"/>
                    </w:rPr>
                  </w:pPr>
                </w:p>
                <w:p w:rsidR="00072469" w:rsidRPr="00065171" w:rsidRDefault="00072469" w:rsidP="00896A1C">
                  <w:pPr>
                    <w:spacing w:line="240" w:lineRule="auto"/>
                    <w:jc w:val="center"/>
                    <w:rPr>
                      <w:rFonts w:ascii="Arial Narrow" w:hAnsi="Arial Narrow"/>
                      <w:color w:val="89B137"/>
                      <w:szCs w:val="26"/>
                    </w:rPr>
                  </w:pPr>
                </w:p>
                <w:p w:rsidR="00072469" w:rsidRPr="00065171" w:rsidRDefault="00072469" w:rsidP="00896A1C">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9" type="#_x0000_t176" style="position:absolute;left:7671;top:12304;width:807;height:567;rotation:360;mso-position-horizontal-relative:page;mso-position-vertical-relative:page" adj="2672,2486" filled="f" fillcolor="#4f81bd" stroked="f" strokecolor="#737373">
            <v:fill color2="#a7bfde" type="pattern"/>
            <v:textbox style="mso-next-textbox:#_x0000_s2079">
              <w:txbxContent>
                <w:p w:rsidR="00072469" w:rsidRPr="00700C32" w:rsidRDefault="00992FEE" w:rsidP="00896A1C">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00072469" w:rsidRPr="00700C32">
                    <w:rPr>
                      <w:sz w:val="18"/>
                      <w:szCs w:val="18"/>
                    </w:rPr>
                    <w:instrText xml:space="preserve"> PAGE    \* MERGEFORMAT </w:instrText>
                  </w:r>
                  <w:r w:rsidRPr="00700C32">
                    <w:rPr>
                      <w:sz w:val="18"/>
                      <w:szCs w:val="18"/>
                    </w:rPr>
                    <w:fldChar w:fldCharType="separate"/>
                  </w:r>
                  <w:r w:rsidR="00A16D9A">
                    <w:rPr>
                      <w:noProof/>
                      <w:sz w:val="18"/>
                      <w:szCs w:val="18"/>
                    </w:rPr>
                    <w:t>75</w:t>
                  </w:r>
                  <w:r w:rsidRPr="00700C32">
                    <w:rPr>
                      <w:sz w:val="18"/>
                      <w:szCs w:val="18"/>
                    </w:rPr>
                    <w:fldChar w:fldCharType="end"/>
                  </w:r>
                </w:p>
              </w:txbxContent>
            </v:textbox>
          </v:shap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69" w:rsidRDefault="00992FEE">
    <w:pPr>
      <w:pStyle w:val="Stopka"/>
    </w:pPr>
    <w:r w:rsidRPr="00992FEE">
      <w:rPr>
        <w:rFonts w:ascii="Cambria" w:hAnsi="Cambria"/>
        <w:noProof/>
        <w:sz w:val="28"/>
        <w:szCs w:val="28"/>
      </w:rPr>
      <w:pict>
        <v:group id="_x0000_s2075" style="position:absolute;margin-left:-.5pt;margin-top:-59.2pt;width:364.85pt;height:39.75pt;z-index:251661312" coordorigin="1181,12104" coordsize="7297,795">
          <v:shapetype id="_x0000_t202" coordsize="21600,21600" o:spt="202" path="m,l,21600r21600,l21600,xe">
            <v:stroke joinstyle="miter"/>
            <v:path gradientshapeok="t" o:connecttype="rect"/>
          </v:shapetype>
          <v:shape id="_x0000_s2068" type="#_x0000_t202" style="position:absolute;left:1181;top:12104;width:7143;height:795" fillcolor="#676c72" stroked="f" strokecolor="#676c72">
            <v:fill opacity="0"/>
            <v:textbox style="mso-next-textbox:#_x0000_s2068" inset=".5mm,.7mm,.5mm,0">
              <w:txbxContent>
                <w:p w:rsidR="00072469" w:rsidRDefault="00072469" w:rsidP="00700C32">
                  <w:pPr>
                    <w:spacing w:line="240" w:lineRule="auto"/>
                    <w:jc w:val="center"/>
                    <w:rPr>
                      <w:rFonts w:ascii="Arial Narrow" w:hAnsi="Arial Narrow"/>
                      <w:color w:val="89B137"/>
                      <w:szCs w:val="18"/>
                    </w:rPr>
                  </w:pPr>
                </w:p>
                <w:p w:rsidR="00072469" w:rsidRPr="00065171" w:rsidRDefault="00072469" w:rsidP="00700C32">
                  <w:pPr>
                    <w:spacing w:line="240" w:lineRule="auto"/>
                    <w:jc w:val="center"/>
                    <w:rPr>
                      <w:rFonts w:ascii="Arial Narrow" w:hAnsi="Arial Narrow"/>
                      <w:color w:val="89B137"/>
                      <w:szCs w:val="26"/>
                    </w:rPr>
                  </w:pPr>
                </w:p>
                <w:p w:rsidR="00072469" w:rsidRPr="00065171" w:rsidRDefault="00072469" w:rsidP="00700C32">
                  <w:pPr>
                    <w:spacing w:line="240" w:lineRule="auto"/>
                    <w:jc w:val="center"/>
                    <w:rPr>
                      <w:rFonts w:ascii="Arial Narrow" w:hAnsi="Arial Narrow"/>
                      <w:color w:val="89B137"/>
                    </w:rPr>
                  </w:pPr>
                  <w:r w:rsidRPr="00065171">
                    <w:rPr>
                      <w:rFonts w:ascii="Arial Narrow" w:hAnsi="Arial Narrow"/>
                      <w:color w:val="89B137"/>
                      <w:szCs w:val="18"/>
                    </w:rPr>
                    <w:t>www.finanseiprawofinansowe.uni.lodz.pl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7" type="#_x0000_t176" style="position:absolute;left:7671;top:12304;width:807;height:567;rotation:360;mso-position-horizontal-relative:page;mso-position-vertical-relative:page" adj="2672,2486" filled="f" fillcolor="#4f81bd" stroked="f" strokecolor="#737373">
            <v:fill color2="#a7bfde" type="pattern"/>
            <v:textbox style="mso-next-textbox:#_x0000_s2067">
              <w:txbxContent>
                <w:p w:rsidR="00072469" w:rsidRPr="00700C32" w:rsidRDefault="00992FEE" w:rsidP="008724A4">
                  <w:pPr>
                    <w:pStyle w:val="Stopka"/>
                    <w:pBdr>
                      <w:top w:val="single" w:sz="12" w:space="1" w:color="9BBB59"/>
                      <w:bottom w:val="single" w:sz="48" w:space="1" w:color="9BBB59"/>
                    </w:pBdr>
                    <w:spacing w:line="240" w:lineRule="auto"/>
                    <w:jc w:val="right"/>
                    <w:rPr>
                      <w:sz w:val="18"/>
                      <w:szCs w:val="18"/>
                    </w:rPr>
                  </w:pPr>
                  <w:r w:rsidRPr="00700C32">
                    <w:rPr>
                      <w:sz w:val="18"/>
                      <w:szCs w:val="18"/>
                    </w:rPr>
                    <w:fldChar w:fldCharType="begin"/>
                  </w:r>
                  <w:r w:rsidR="00072469" w:rsidRPr="00700C32">
                    <w:rPr>
                      <w:sz w:val="18"/>
                      <w:szCs w:val="18"/>
                    </w:rPr>
                    <w:instrText xml:space="preserve"> PAGE    \* MERGEFORMAT </w:instrText>
                  </w:r>
                  <w:r w:rsidRPr="00700C32">
                    <w:rPr>
                      <w:sz w:val="18"/>
                      <w:szCs w:val="18"/>
                    </w:rPr>
                    <w:fldChar w:fldCharType="separate"/>
                  </w:r>
                  <w:r w:rsidR="00264B9C">
                    <w:rPr>
                      <w:noProof/>
                      <w:sz w:val="18"/>
                      <w:szCs w:val="18"/>
                    </w:rPr>
                    <w:t>67</w:t>
                  </w:r>
                  <w:r w:rsidRPr="00700C32">
                    <w:rPr>
                      <w:sz w:val="18"/>
                      <w:szCs w:val="18"/>
                    </w:rPr>
                    <w:fldChar w:fldCharType="end"/>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469" w:rsidRPr="00A95A7B" w:rsidRDefault="00072469" w:rsidP="00A95A7B">
      <w:pPr>
        <w:spacing w:line="240" w:lineRule="auto"/>
        <w:ind w:right="5954"/>
        <w:rPr>
          <w:sz w:val="12"/>
          <w:szCs w:val="12"/>
        </w:rPr>
      </w:pPr>
      <w:r w:rsidRPr="00A95A7B">
        <w:rPr>
          <w:sz w:val="12"/>
          <w:szCs w:val="12"/>
        </w:rPr>
        <w:separator/>
      </w:r>
    </w:p>
  </w:footnote>
  <w:footnote w:type="continuationSeparator" w:id="0">
    <w:p w:rsidR="00072469" w:rsidRPr="00A95A7B" w:rsidRDefault="00072469" w:rsidP="00A95A7B">
      <w:pPr>
        <w:spacing w:line="240" w:lineRule="auto"/>
        <w:ind w:right="5954"/>
        <w:jc w:val="both"/>
        <w:rPr>
          <w:sz w:val="12"/>
          <w:szCs w:val="12"/>
        </w:rPr>
      </w:pPr>
      <w:r w:rsidRPr="00A95A7B">
        <w:rPr>
          <w:sz w:val="12"/>
          <w:szCs w:val="12"/>
        </w:rPr>
        <w:separator/>
      </w:r>
    </w:p>
  </w:footnote>
  <w:footnote w:type="continuationNotice" w:id="1">
    <w:p w:rsidR="00072469" w:rsidRPr="00CF400C" w:rsidRDefault="00072469" w:rsidP="00CF400C">
      <w:pPr>
        <w:spacing w:line="240" w:lineRule="auto"/>
        <w:rPr>
          <w:sz w:val="8"/>
          <w:szCs w:val="8"/>
        </w:rPr>
      </w:pPr>
    </w:p>
  </w:footnote>
  <w:footnote w:id="2">
    <w:p w:rsidR="00072469" w:rsidRPr="00C655E7" w:rsidRDefault="00072469" w:rsidP="00C655E7">
      <w:pPr>
        <w:pStyle w:val="FutureAfiliacja"/>
      </w:pPr>
      <w:r w:rsidRPr="00072469">
        <w:rPr>
          <w:rStyle w:val="Odwoanieprzypisudolnego"/>
          <w:szCs w:val="18"/>
        </w:rPr>
        <w:t>*</w:t>
      </w:r>
      <w:r w:rsidRPr="00072469">
        <w:rPr>
          <w:vertAlign w:val="superscript"/>
        </w:rPr>
        <w:t> </w:t>
      </w:r>
      <w:r w:rsidRPr="00C655E7">
        <w:t>Absolwent</w:t>
      </w:r>
      <w:r>
        <w:t xml:space="preserve"> Uniwersytetu Łódzkiego,</w:t>
      </w:r>
      <w:r w:rsidRPr="00C655E7">
        <w:t xml:space="preserve"> Wydziału Ekonomiczno-Socjologicznego,</w:t>
      </w:r>
      <w:r>
        <w:t xml:space="preserve"> kierunku:</w:t>
      </w:r>
      <w:r w:rsidRPr="00C655E7">
        <w:t xml:space="preserve"> Finanse i Rachunkowość.</w:t>
      </w:r>
    </w:p>
  </w:footnote>
  <w:footnote w:id="3">
    <w:p w:rsidR="00072469" w:rsidRDefault="00072469" w:rsidP="00C655E7">
      <w:pPr>
        <w:pStyle w:val="FuturePrzypisdolny"/>
      </w:pPr>
      <w:r>
        <w:rPr>
          <w:rStyle w:val="Odwoanieprzypisudolnego"/>
        </w:rPr>
        <w:footnoteRef/>
      </w:r>
      <w:r>
        <w:t xml:space="preserve"> </w:t>
      </w:r>
      <w:r w:rsidRPr="00C655E7">
        <w:t>Znalezione w komentarzach pod informacjami prasowymi o planowanym przejęciu (Inte</w:t>
      </w:r>
      <w:r w:rsidRPr="00C655E7">
        <w:t>r</w:t>
      </w:r>
      <w:r w:rsidRPr="00C655E7">
        <w:t>net).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69" w:rsidRDefault="00992FEE" w:rsidP="00A95A7B">
    <w:pPr>
      <w:pStyle w:val="Nagwek"/>
      <w:rPr>
        <w:szCs w:val="16"/>
      </w:rPr>
    </w:pPr>
    <w:r>
      <w:rPr>
        <w:noProof/>
        <w:szCs w:val="16"/>
      </w:rPr>
      <w:pict>
        <v:shapetype id="_x0000_t202" coordsize="21600,21600" o:spt="202" path="m,l,21600r21600,l21600,xe">
          <v:stroke joinstyle="miter"/>
          <v:path gradientshapeok="t" o:connecttype="rect"/>
        </v:shapetype>
        <v:shape id="_x0000_s2060" type="#_x0000_t202" style="position:absolute;margin-left:-1.25pt;margin-top:-51.05pt;width:357.15pt;height:59.2pt;z-index:251657216" fillcolor="#89b137" stroked="f" strokecolor="#89b137">
          <v:fill rotate="t" focus="100%" type="gradient"/>
          <v:textbox inset=".5mm,6.3mm,.5mm">
            <w:txbxContent>
              <w:p w:rsidR="00072469" w:rsidRPr="004270F4" w:rsidRDefault="00072469" w:rsidP="00A95A7B">
                <w:pPr>
                  <w:spacing w:line="240" w:lineRule="auto"/>
                  <w:rPr>
                    <w:rFonts w:ascii="Arial Narrow" w:hAnsi="Arial Narrow"/>
                    <w:b/>
                    <w:lang w:val="en-US"/>
                  </w:rPr>
                </w:pPr>
                <w:proofErr w:type="spellStart"/>
                <w:r w:rsidRPr="004270F4">
                  <w:rPr>
                    <w:rFonts w:ascii="Arial Narrow" w:hAnsi="Arial Narrow"/>
                    <w:b/>
                    <w:lang w:val="en-US"/>
                  </w:rPr>
                  <w:t>Finanse</w:t>
                </w:r>
                <w:proofErr w:type="spellEnd"/>
                <w:r w:rsidRPr="004270F4">
                  <w:rPr>
                    <w:rFonts w:ascii="Arial Narrow" w:hAnsi="Arial Narrow"/>
                    <w:b/>
                    <w:lang w:val="en-US"/>
                  </w:rPr>
                  <w:t xml:space="preserve"> </w:t>
                </w:r>
                <w:proofErr w:type="spellStart"/>
                <w:r w:rsidRPr="004270F4">
                  <w:rPr>
                    <w:rFonts w:ascii="Arial Narrow" w:hAnsi="Arial Narrow"/>
                    <w:b/>
                    <w:lang w:val="en-US"/>
                  </w:rPr>
                  <w:t>i</w:t>
                </w:r>
                <w:proofErr w:type="spellEnd"/>
                <w:r w:rsidRPr="004270F4">
                  <w:rPr>
                    <w:rFonts w:ascii="Arial Narrow" w:hAnsi="Arial Narrow"/>
                    <w:b/>
                    <w:lang w:val="en-US"/>
                  </w:rPr>
                  <w:t xml:space="preserve"> </w:t>
                </w:r>
                <w:proofErr w:type="spellStart"/>
                <w:r w:rsidRPr="004270F4">
                  <w:rPr>
                    <w:rFonts w:ascii="Arial Narrow" w:hAnsi="Arial Narrow"/>
                    <w:b/>
                    <w:lang w:val="en-US"/>
                  </w:rPr>
                  <w:t>Prawo</w:t>
                </w:r>
                <w:proofErr w:type="spellEnd"/>
                <w:r w:rsidRPr="004270F4">
                  <w:rPr>
                    <w:rFonts w:ascii="Arial Narrow" w:hAnsi="Arial Narrow"/>
                    <w:b/>
                    <w:lang w:val="en-US"/>
                  </w:rPr>
                  <w:t xml:space="preserve"> </w:t>
                </w:r>
                <w:proofErr w:type="spellStart"/>
                <w:r w:rsidRPr="004270F4">
                  <w:rPr>
                    <w:rFonts w:ascii="Arial Narrow" w:hAnsi="Arial Narrow"/>
                    <w:b/>
                    <w:lang w:val="en-US"/>
                  </w:rPr>
                  <w:t>Finansowe</w:t>
                </w:r>
                <w:proofErr w:type="spellEnd"/>
                <w:r w:rsidRPr="004270F4">
                  <w:rPr>
                    <w:rFonts w:ascii="Arial Narrow" w:hAnsi="Arial Narrow"/>
                    <w:b/>
                    <w:lang w:val="en-US"/>
                  </w:rPr>
                  <w:t xml:space="preserve"> • Journal of Finance and Financial Law • 2014, vol. </w:t>
                </w:r>
                <w:r>
                  <w:rPr>
                    <w:rFonts w:ascii="Arial Narrow" w:hAnsi="Arial Narrow"/>
                    <w:b/>
                    <w:lang w:val="en-US"/>
                  </w:rPr>
                  <w:t>3</w:t>
                </w:r>
                <w:r w:rsidR="0090776E">
                  <w:rPr>
                    <w:rFonts w:ascii="Arial Narrow" w:hAnsi="Arial Narrow"/>
                    <w:b/>
                    <w:lang w:val="en-US"/>
                  </w:rPr>
                  <w:t>, s. 67</w:t>
                </w:r>
                <w:r w:rsidR="00DB67A8">
                  <w:rPr>
                    <w:rFonts w:ascii="Arial Narrow" w:hAnsi="Arial Narrow"/>
                    <w:b/>
                    <w:lang w:val="en-US"/>
                  </w:rPr>
                  <w:t>–</w:t>
                </w:r>
                <w:r w:rsidR="0090776E">
                  <w:rPr>
                    <w:rFonts w:ascii="Arial Narrow" w:hAnsi="Arial Narrow"/>
                    <w:b/>
                    <w:lang w:val="en-US"/>
                  </w:rPr>
                  <w:t>78</w:t>
                </w:r>
              </w:p>
              <w:p w:rsidR="00072469" w:rsidRPr="00A56A97" w:rsidRDefault="00072469" w:rsidP="00A95A7B">
                <w:pPr>
                  <w:spacing w:line="240" w:lineRule="auto"/>
                  <w:rPr>
                    <w:rFonts w:ascii="Arial Narrow" w:hAnsi="Arial Narrow"/>
                    <w:i/>
                    <w:sz w:val="2"/>
                    <w:lang w:val="en-GB"/>
                  </w:rPr>
                </w:pPr>
              </w:p>
              <w:p w:rsidR="00072469" w:rsidRPr="004270F4" w:rsidRDefault="00072469" w:rsidP="00A95A7B">
                <w:pPr>
                  <w:spacing w:line="240" w:lineRule="auto"/>
                  <w:rPr>
                    <w:rFonts w:ascii="Arial Narrow" w:hAnsi="Arial Narrow"/>
                    <w:i/>
                    <w:sz w:val="16"/>
                  </w:rPr>
                </w:pPr>
                <w:r>
                  <w:rPr>
                    <w:rFonts w:ascii="Arial Narrow" w:hAnsi="Arial Narrow"/>
                    <w:sz w:val="16"/>
                  </w:rPr>
                  <w:t xml:space="preserve">Adrian Wójtowicz, </w:t>
                </w:r>
                <w:r>
                  <w:rPr>
                    <w:rFonts w:ascii="Arial Narrow" w:hAnsi="Arial Narrow"/>
                    <w:i/>
                    <w:sz w:val="16"/>
                  </w:rPr>
                  <w:t>Próba oceny strategii eksp</w:t>
                </w:r>
                <w:r w:rsidR="00264B9C">
                  <w:rPr>
                    <w:rFonts w:ascii="Arial Narrow" w:hAnsi="Arial Narrow"/>
                    <w:i/>
                    <w:sz w:val="16"/>
                  </w:rPr>
                  <w:t>ansji</w:t>
                </w:r>
                <w:r>
                  <w:rPr>
                    <w:rFonts w:ascii="Arial Narrow" w:hAnsi="Arial Narrow"/>
                    <w:i/>
                    <w:sz w:val="16"/>
                  </w:rPr>
                  <w:t>…</w:t>
                </w:r>
              </w:p>
            </w:txbxContent>
          </v:textbox>
        </v:shape>
      </w:pict>
    </w:r>
  </w:p>
  <w:p w:rsidR="00072469" w:rsidRPr="00A95A7B" w:rsidRDefault="00992FEE" w:rsidP="00A95A7B">
    <w:pPr>
      <w:pStyle w:val="Nagwek"/>
      <w:rPr>
        <w:szCs w:val="16"/>
      </w:rPr>
    </w:pPr>
    <w:r>
      <w:rPr>
        <w:noProof/>
        <w:szCs w:val="16"/>
      </w:rPr>
      <w:pict>
        <v:line id="_x0000_s2062" style="position:absolute;z-index:251659264" from="-1.25pt,2.05pt" to="355.9pt,2.05pt" strokecolor="#89b137"/>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69" w:rsidRDefault="00992FEE" w:rsidP="00A95A7B">
    <w:pPr>
      <w:pStyle w:val="Nagwek"/>
    </w:pPr>
    <w:r>
      <w:rPr>
        <w:noProof/>
      </w:rPr>
      <w:pict>
        <v:shapetype id="_x0000_t202" coordsize="21600,21600" o:spt="202" path="m,l,21600r21600,l21600,xe">
          <v:stroke joinstyle="miter"/>
          <v:path gradientshapeok="t" o:connecttype="rect"/>
        </v:shapetype>
        <v:shape id="_x0000_s2061" type="#_x0000_t202" style="position:absolute;margin-left:-1.8pt;margin-top:-51.05pt;width:357.15pt;height:58.45pt;z-index:251658240" fillcolor="#89b137" stroked="f" strokecolor="#89b137">
          <v:fill rotate="t" focus="100%" type="gradient"/>
          <v:textbox inset=".5mm,6.3mm,.5mm">
            <w:txbxContent>
              <w:p w:rsidR="00072469" w:rsidRPr="004270F4" w:rsidRDefault="00072469" w:rsidP="00102475">
                <w:pPr>
                  <w:spacing w:line="240" w:lineRule="auto"/>
                  <w:jc w:val="right"/>
                  <w:rPr>
                    <w:rFonts w:ascii="Arial Narrow" w:hAnsi="Arial Narrow"/>
                    <w:b/>
                    <w:lang w:val="en-US"/>
                  </w:rPr>
                </w:pPr>
                <w:proofErr w:type="spellStart"/>
                <w:r w:rsidRPr="004270F4">
                  <w:rPr>
                    <w:rFonts w:ascii="Arial Narrow" w:hAnsi="Arial Narrow"/>
                    <w:b/>
                    <w:lang w:val="en-US"/>
                  </w:rPr>
                  <w:t>Finanse</w:t>
                </w:r>
                <w:proofErr w:type="spellEnd"/>
                <w:r w:rsidRPr="004270F4">
                  <w:rPr>
                    <w:rFonts w:ascii="Arial Narrow" w:hAnsi="Arial Narrow"/>
                    <w:b/>
                    <w:lang w:val="en-US"/>
                  </w:rPr>
                  <w:t xml:space="preserve"> </w:t>
                </w:r>
                <w:proofErr w:type="spellStart"/>
                <w:r w:rsidRPr="004270F4">
                  <w:rPr>
                    <w:rFonts w:ascii="Arial Narrow" w:hAnsi="Arial Narrow"/>
                    <w:b/>
                    <w:lang w:val="en-US"/>
                  </w:rPr>
                  <w:t>i</w:t>
                </w:r>
                <w:proofErr w:type="spellEnd"/>
                <w:r w:rsidRPr="004270F4">
                  <w:rPr>
                    <w:rFonts w:ascii="Arial Narrow" w:hAnsi="Arial Narrow"/>
                    <w:b/>
                    <w:lang w:val="en-US"/>
                  </w:rPr>
                  <w:t xml:space="preserve"> </w:t>
                </w:r>
                <w:proofErr w:type="spellStart"/>
                <w:r w:rsidRPr="004270F4">
                  <w:rPr>
                    <w:rFonts w:ascii="Arial Narrow" w:hAnsi="Arial Narrow"/>
                    <w:b/>
                    <w:lang w:val="en-US"/>
                  </w:rPr>
                  <w:t>Prawo</w:t>
                </w:r>
                <w:proofErr w:type="spellEnd"/>
                <w:r w:rsidRPr="004270F4">
                  <w:rPr>
                    <w:rFonts w:ascii="Arial Narrow" w:hAnsi="Arial Narrow"/>
                    <w:b/>
                    <w:lang w:val="en-US"/>
                  </w:rPr>
                  <w:t xml:space="preserve"> </w:t>
                </w:r>
                <w:proofErr w:type="spellStart"/>
                <w:r w:rsidRPr="004270F4">
                  <w:rPr>
                    <w:rFonts w:ascii="Arial Narrow" w:hAnsi="Arial Narrow"/>
                    <w:b/>
                    <w:lang w:val="en-US"/>
                  </w:rPr>
                  <w:t>Finansowe</w:t>
                </w:r>
                <w:proofErr w:type="spellEnd"/>
                <w:r w:rsidRPr="004270F4">
                  <w:rPr>
                    <w:rFonts w:ascii="Arial Narrow" w:hAnsi="Arial Narrow"/>
                    <w:b/>
                    <w:lang w:val="en-US"/>
                  </w:rPr>
                  <w:t xml:space="preserve"> • Journal of Finance and Financial Law • 2014, vol. </w:t>
                </w:r>
                <w:r>
                  <w:rPr>
                    <w:rFonts w:ascii="Arial Narrow" w:hAnsi="Arial Narrow"/>
                    <w:b/>
                    <w:lang w:val="en-US"/>
                  </w:rPr>
                  <w:t>3</w:t>
                </w:r>
                <w:r w:rsidRPr="004270F4">
                  <w:rPr>
                    <w:rFonts w:ascii="Arial Narrow" w:hAnsi="Arial Narrow"/>
                    <w:b/>
                    <w:lang w:val="en-US"/>
                  </w:rPr>
                  <w:t xml:space="preserve">, s. </w:t>
                </w:r>
                <w:r w:rsidR="0090776E">
                  <w:rPr>
                    <w:rFonts w:ascii="Arial Narrow" w:hAnsi="Arial Narrow"/>
                    <w:b/>
                    <w:lang w:val="en-US"/>
                  </w:rPr>
                  <w:t>67</w:t>
                </w:r>
                <w:r w:rsidR="00DB67A8">
                  <w:rPr>
                    <w:rFonts w:ascii="Arial Narrow" w:hAnsi="Arial Narrow"/>
                    <w:b/>
                    <w:lang w:val="en-US"/>
                  </w:rPr>
                  <w:t>–</w:t>
                </w:r>
                <w:r w:rsidR="0090776E">
                  <w:rPr>
                    <w:rFonts w:ascii="Arial Narrow" w:hAnsi="Arial Narrow"/>
                    <w:b/>
                    <w:lang w:val="en-US"/>
                  </w:rPr>
                  <w:t>78</w:t>
                </w:r>
              </w:p>
              <w:p w:rsidR="00072469" w:rsidRPr="00A56A97" w:rsidRDefault="00072469" w:rsidP="00102475">
                <w:pPr>
                  <w:spacing w:line="240" w:lineRule="auto"/>
                  <w:jc w:val="right"/>
                  <w:rPr>
                    <w:rFonts w:ascii="Arial Narrow" w:hAnsi="Arial Narrow"/>
                    <w:i/>
                    <w:sz w:val="2"/>
                    <w:lang w:val="en-GB"/>
                  </w:rPr>
                </w:pPr>
              </w:p>
              <w:p w:rsidR="00072469" w:rsidRPr="004270F4" w:rsidRDefault="00072469" w:rsidP="00102475">
                <w:pPr>
                  <w:spacing w:line="240" w:lineRule="auto"/>
                  <w:jc w:val="right"/>
                  <w:rPr>
                    <w:rFonts w:ascii="Arial Narrow" w:hAnsi="Arial Narrow"/>
                    <w:i/>
                    <w:sz w:val="16"/>
                  </w:rPr>
                </w:pPr>
                <w:r>
                  <w:rPr>
                    <w:rFonts w:ascii="Arial Narrow" w:hAnsi="Arial Narrow"/>
                    <w:sz w:val="16"/>
                  </w:rPr>
                  <w:t xml:space="preserve">Adrian Wójtowicz, </w:t>
                </w:r>
                <w:r>
                  <w:rPr>
                    <w:rFonts w:ascii="Arial Narrow" w:hAnsi="Arial Narrow"/>
                    <w:i/>
                    <w:sz w:val="16"/>
                  </w:rPr>
                  <w:t>Próba oceny strategii eksp</w:t>
                </w:r>
                <w:r w:rsidR="00264B9C">
                  <w:rPr>
                    <w:rFonts w:ascii="Arial Narrow" w:hAnsi="Arial Narrow"/>
                    <w:i/>
                    <w:sz w:val="16"/>
                  </w:rPr>
                  <w:t>ansj</w:t>
                </w:r>
                <w:r>
                  <w:rPr>
                    <w:rFonts w:ascii="Arial Narrow" w:hAnsi="Arial Narrow"/>
                    <w:i/>
                    <w:sz w:val="16"/>
                  </w:rPr>
                  <w:t>i…</w:t>
                </w:r>
              </w:p>
            </w:txbxContent>
          </v:textbox>
        </v:shape>
      </w:pict>
    </w:r>
    <w:r>
      <w:rPr>
        <w:noProof/>
      </w:rPr>
      <w:pict>
        <v:line id="_x0000_s2063" style="position:absolute;z-index:251660288" from="-1.8pt,14.9pt" to="355.35pt,14.9pt" strokecolor="#89b137"/>
      </w:pict>
    </w:r>
  </w:p>
  <w:p w:rsidR="00072469" w:rsidRPr="00A95A7B" w:rsidRDefault="00072469" w:rsidP="00A95A7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69" w:rsidRPr="00A95A7B" w:rsidRDefault="00992FEE" w:rsidP="00267DC4">
    <w:pPr>
      <w:pStyle w:val="Nagwek"/>
      <w:spacing w:line="240" w:lineRule="auto"/>
      <w:jc w:val="right"/>
      <w:rPr>
        <w:rFonts w:ascii="Arial Narrow" w:hAnsi="Arial Narrow"/>
        <w:b/>
        <w:color w:val="676C72"/>
        <w:sz w:val="24"/>
        <w:szCs w:val="22"/>
      </w:rPr>
    </w:pPr>
    <w:r w:rsidRPr="00992FEE">
      <w:rPr>
        <w:rFonts w:ascii="Arial Narrow" w:hAnsi="Arial Narrow"/>
        <w:b/>
        <w:noProof/>
        <w:color w:val="676C72"/>
        <w:spacing w:val="135"/>
        <w:sz w:val="24"/>
        <w:szCs w:val="22"/>
      </w:rPr>
      <w:pict>
        <v:shapetype id="_x0000_t202" coordsize="21600,21600" o:spt="202" path="m,l,21600r21600,l21600,xe">
          <v:stroke joinstyle="miter"/>
          <v:path gradientshapeok="t" o:connecttype="rect"/>
        </v:shapetype>
        <v:shape id="_x0000_s2050" type="#_x0000_t202" style="position:absolute;left:0;text-align:left;margin-left:-.5pt;margin-top:-51.05pt;width:357.15pt;height:59.2pt;z-index:251653120" fillcolor="#89b137" stroked="f" strokecolor="#89b137">
          <v:fill rotate="t" focus="100%" type="gradient"/>
          <v:textbox style="mso-next-textbox:#_x0000_s2050" inset=".5mm,6.3mm,.5mm">
            <w:txbxContent>
              <w:p w:rsidR="00072469" w:rsidRPr="004270F4" w:rsidRDefault="00072469" w:rsidP="00102475">
                <w:pPr>
                  <w:spacing w:line="240" w:lineRule="auto"/>
                  <w:jc w:val="right"/>
                  <w:rPr>
                    <w:rFonts w:ascii="Arial Narrow" w:hAnsi="Arial Narrow"/>
                    <w:b/>
                    <w:lang w:val="en-US"/>
                  </w:rPr>
                </w:pPr>
                <w:proofErr w:type="spellStart"/>
                <w:r w:rsidRPr="004270F4">
                  <w:rPr>
                    <w:rFonts w:ascii="Arial Narrow" w:hAnsi="Arial Narrow"/>
                    <w:b/>
                    <w:lang w:val="en-US"/>
                  </w:rPr>
                  <w:t>Finanse</w:t>
                </w:r>
                <w:proofErr w:type="spellEnd"/>
                <w:r w:rsidRPr="004270F4">
                  <w:rPr>
                    <w:rFonts w:ascii="Arial Narrow" w:hAnsi="Arial Narrow"/>
                    <w:b/>
                    <w:lang w:val="en-US"/>
                  </w:rPr>
                  <w:t xml:space="preserve"> </w:t>
                </w:r>
                <w:proofErr w:type="spellStart"/>
                <w:r w:rsidRPr="004270F4">
                  <w:rPr>
                    <w:rFonts w:ascii="Arial Narrow" w:hAnsi="Arial Narrow"/>
                    <w:b/>
                    <w:lang w:val="en-US"/>
                  </w:rPr>
                  <w:t>i</w:t>
                </w:r>
                <w:proofErr w:type="spellEnd"/>
                <w:r w:rsidRPr="004270F4">
                  <w:rPr>
                    <w:rFonts w:ascii="Arial Narrow" w:hAnsi="Arial Narrow"/>
                    <w:b/>
                    <w:lang w:val="en-US"/>
                  </w:rPr>
                  <w:t xml:space="preserve"> </w:t>
                </w:r>
                <w:proofErr w:type="spellStart"/>
                <w:r w:rsidRPr="004270F4">
                  <w:rPr>
                    <w:rFonts w:ascii="Arial Narrow" w:hAnsi="Arial Narrow"/>
                    <w:b/>
                    <w:lang w:val="en-US"/>
                  </w:rPr>
                  <w:t>Prawo</w:t>
                </w:r>
                <w:proofErr w:type="spellEnd"/>
                <w:r w:rsidRPr="004270F4">
                  <w:rPr>
                    <w:rFonts w:ascii="Arial Narrow" w:hAnsi="Arial Narrow"/>
                    <w:b/>
                    <w:lang w:val="en-US"/>
                  </w:rPr>
                  <w:t xml:space="preserve"> </w:t>
                </w:r>
                <w:proofErr w:type="spellStart"/>
                <w:r w:rsidRPr="004270F4">
                  <w:rPr>
                    <w:rFonts w:ascii="Arial Narrow" w:hAnsi="Arial Narrow"/>
                    <w:b/>
                    <w:lang w:val="en-US"/>
                  </w:rPr>
                  <w:t>Finansowe</w:t>
                </w:r>
                <w:proofErr w:type="spellEnd"/>
                <w:r w:rsidRPr="004270F4">
                  <w:rPr>
                    <w:rFonts w:ascii="Arial Narrow" w:hAnsi="Arial Narrow"/>
                    <w:b/>
                    <w:lang w:val="en-US"/>
                  </w:rPr>
                  <w:t xml:space="preserve"> • Journal of Finance and Finan</w:t>
                </w:r>
                <w:r>
                  <w:rPr>
                    <w:rFonts w:ascii="Arial Narrow" w:hAnsi="Arial Narrow"/>
                    <w:b/>
                    <w:lang w:val="en-US"/>
                  </w:rPr>
                  <w:t>cial Law • 2014, vol. 3</w:t>
                </w:r>
                <w:r w:rsidR="0090776E">
                  <w:rPr>
                    <w:rFonts w:ascii="Arial Narrow" w:hAnsi="Arial Narrow"/>
                    <w:b/>
                    <w:lang w:val="en-US"/>
                  </w:rPr>
                  <w:t>, s. 67</w:t>
                </w:r>
                <w:r w:rsidR="00DB67A8">
                  <w:rPr>
                    <w:rFonts w:ascii="Arial Narrow" w:hAnsi="Arial Narrow"/>
                    <w:b/>
                    <w:lang w:val="en-US"/>
                  </w:rPr>
                  <w:t>–</w:t>
                </w:r>
                <w:r w:rsidR="0090776E">
                  <w:rPr>
                    <w:rFonts w:ascii="Arial Narrow" w:hAnsi="Arial Narrow"/>
                    <w:b/>
                    <w:lang w:val="en-US"/>
                  </w:rPr>
                  <w:t>78</w:t>
                </w:r>
              </w:p>
              <w:p w:rsidR="00072469" w:rsidRPr="00A56A97" w:rsidRDefault="00072469" w:rsidP="00102475">
                <w:pPr>
                  <w:spacing w:line="240" w:lineRule="auto"/>
                  <w:jc w:val="right"/>
                  <w:rPr>
                    <w:rFonts w:ascii="Arial Narrow" w:hAnsi="Arial Narrow"/>
                    <w:i/>
                    <w:sz w:val="2"/>
                    <w:lang w:val="en-GB"/>
                  </w:rPr>
                </w:pPr>
              </w:p>
              <w:p w:rsidR="00072469" w:rsidRPr="004270F4" w:rsidRDefault="00072469" w:rsidP="00102475">
                <w:pPr>
                  <w:spacing w:line="240" w:lineRule="auto"/>
                  <w:jc w:val="right"/>
                  <w:rPr>
                    <w:rFonts w:ascii="Arial Narrow" w:hAnsi="Arial Narrow"/>
                    <w:i/>
                    <w:sz w:val="16"/>
                  </w:rPr>
                </w:pPr>
                <w:r>
                  <w:rPr>
                    <w:rFonts w:ascii="Arial Narrow" w:hAnsi="Arial Narrow"/>
                    <w:sz w:val="16"/>
                  </w:rPr>
                  <w:t xml:space="preserve">Adrian Wójtowicz, </w:t>
                </w:r>
                <w:r>
                  <w:rPr>
                    <w:rFonts w:ascii="Arial Narrow" w:hAnsi="Arial Narrow"/>
                    <w:i/>
                    <w:sz w:val="16"/>
                  </w:rPr>
                  <w:t>Próba oceny strategii eksp</w:t>
                </w:r>
                <w:r w:rsidR="00264B9C">
                  <w:rPr>
                    <w:rFonts w:ascii="Arial Narrow" w:hAnsi="Arial Narrow"/>
                    <w:i/>
                    <w:sz w:val="16"/>
                  </w:rPr>
                  <w:t>ansji</w:t>
                </w:r>
                <w:r>
                  <w:rPr>
                    <w:rFonts w:ascii="Arial Narrow" w:hAnsi="Arial Narrow"/>
                    <w:i/>
                    <w:sz w:val="16"/>
                  </w:rPr>
                  <w:t>…</w:t>
                </w:r>
              </w:p>
            </w:txbxContent>
          </v:textbox>
        </v:shape>
      </w:pict>
    </w:r>
    <w:r w:rsidRPr="00992FEE">
      <w:rPr>
        <w:rFonts w:ascii="Arial Narrow" w:hAnsi="Arial Narrow"/>
        <w:b/>
        <w:noProof/>
        <w:color w:val="676C72"/>
        <w:spacing w:val="50"/>
        <w:sz w:val="28"/>
        <w:szCs w:val="22"/>
      </w:rPr>
      <w:pict>
        <v:shapetype id="_x0000_t32" coordsize="21600,21600" o:spt="32" o:oned="t" path="m,l21600,21600e" filled="f">
          <v:path arrowok="t" fillok="f" o:connecttype="none"/>
          <o:lock v:ext="edit" shapetype="t"/>
        </v:shapetype>
        <v:shape id="_x0000_s2049" type="#_x0000_t32" style="position:absolute;left:0;text-align:left;margin-left:-.5pt;margin-top:18.45pt;width:357.15pt;height:.05pt;z-index:251652096" o:connectortype="straight" strokecolor="#89b137" strokeweight="5.25pt"/>
      </w:pict>
    </w:r>
  </w:p>
  <w:p w:rsidR="00072469" w:rsidRDefault="00072469" w:rsidP="00267DC4">
    <w:pPr>
      <w:pStyle w:val="Nagwek"/>
      <w:spacing w:line="240" w:lineRule="auto"/>
      <w:jc w:val="center"/>
      <w:rPr>
        <w:rFonts w:ascii="Arial Narrow" w:hAnsi="Arial Narrow"/>
        <w:b/>
        <w:color w:val="676C72"/>
        <w:spacing w:val="114"/>
        <w:sz w:val="28"/>
        <w:szCs w:val="22"/>
      </w:rPr>
    </w:pPr>
  </w:p>
  <w:p w:rsidR="00072469" w:rsidRPr="00E70E7A" w:rsidRDefault="00072469" w:rsidP="00267DC4">
    <w:pPr>
      <w:pStyle w:val="Nagwek"/>
      <w:spacing w:line="240" w:lineRule="auto"/>
      <w:jc w:val="center"/>
      <w:rPr>
        <w:rFonts w:ascii="Arial Narrow" w:hAnsi="Arial Narrow"/>
        <w:b/>
        <w:color w:val="676C72"/>
        <w:spacing w:val="114"/>
        <w:szCs w:val="22"/>
      </w:rPr>
    </w:pPr>
    <w:r w:rsidRPr="00E70E7A">
      <w:rPr>
        <w:rFonts w:ascii="Arial Narrow" w:hAnsi="Arial Narrow"/>
        <w:b/>
        <w:color w:val="676C72"/>
        <w:spacing w:val="114"/>
        <w:sz w:val="28"/>
        <w:szCs w:val="22"/>
      </w:rPr>
      <w:t>• FINANSE I PRAWO FINANSOWE •</w:t>
    </w:r>
  </w:p>
  <w:p w:rsidR="00072469" w:rsidRDefault="00992FEE" w:rsidP="00267DC4">
    <w:pPr>
      <w:pStyle w:val="Nagwek"/>
      <w:spacing w:line="240" w:lineRule="auto"/>
      <w:jc w:val="right"/>
      <w:rPr>
        <w:rFonts w:ascii="Arial Narrow" w:hAnsi="Arial Narrow"/>
        <w:b/>
        <w:color w:val="676C72"/>
        <w:spacing w:val="50"/>
        <w:szCs w:val="22"/>
        <w:lang w:val="en-US"/>
      </w:rPr>
    </w:pPr>
    <w:r w:rsidRPr="00992FEE">
      <w:rPr>
        <w:rFonts w:ascii="Arial Narrow" w:hAnsi="Arial Narrow"/>
        <w:b/>
        <w:noProof/>
        <w:color w:val="676C72"/>
        <w:spacing w:val="135"/>
        <w:szCs w:val="22"/>
      </w:rPr>
      <w:pict>
        <v:shape id="_x0000_s2055" type="#_x0000_t202" style="position:absolute;left:0;text-align:left;margin-left:-.5pt;margin-top:6.25pt;width:75.95pt;height:19.5pt;z-index:251656192" stroked="f" strokecolor="#676c72">
          <v:fill opacity="0"/>
          <v:textbox style="mso-next-textbox:#_x0000_s2055" inset="0,1.5mm,0,0">
            <w:txbxContent>
              <w:p w:rsidR="00072469" w:rsidRPr="00A56A97" w:rsidRDefault="00072469" w:rsidP="00267DC4">
                <w:pPr>
                  <w:rPr>
                    <w:sz w:val="16"/>
                  </w:rPr>
                </w:pPr>
                <w:r w:rsidRPr="00A56A97">
                  <w:rPr>
                    <w:rFonts w:ascii="Arial Narrow" w:hAnsi="Arial Narrow"/>
                    <w:color w:val="676C72"/>
                    <w:sz w:val="16"/>
                    <w:szCs w:val="22"/>
                  </w:rPr>
                  <w:t>ISSN 2353-5601</w:t>
                </w:r>
              </w:p>
            </w:txbxContent>
          </v:textbox>
        </v:shape>
      </w:pict>
    </w:r>
    <w:r w:rsidRPr="00992FEE">
      <w:rPr>
        <w:rFonts w:ascii="Arial Narrow" w:hAnsi="Arial Narrow"/>
        <w:b/>
        <w:noProof/>
        <w:color w:val="676C72"/>
        <w:spacing w:val="135"/>
        <w:szCs w:val="22"/>
      </w:rPr>
      <w:pict>
        <v:group id="_x0000_s2052" style="position:absolute;left:0;text-align:left;margin-left:85.95pt;margin-top:5.05pt;width:270.7pt;height:22.45pt;z-index:251655168" coordorigin="2910,1629" coordsize="5414,306">
          <v:shape id="_x0000_s2053" type="#_x0000_t202" style="position:absolute;left:2910;top:1629;width:3750;height:282" filled="f" fillcolor="#676c72" stroked="f" strokecolor="#676c72">
            <v:textbox style="mso-next-textbox:#_x0000_s2053" inset="0,1.7mm,0,0">
              <w:txbxContent>
                <w:p w:rsidR="00072469" w:rsidRPr="00E70E7A" w:rsidRDefault="00072469" w:rsidP="00267DC4">
                  <w:pPr>
                    <w:jc w:val="center"/>
                    <w:rPr>
                      <w:b/>
                      <w:sz w:val="22"/>
                      <w:lang w:val="en-US"/>
                    </w:rPr>
                  </w:pPr>
                  <w:r w:rsidRPr="00E70E7A">
                    <w:rPr>
                      <w:rFonts w:ascii="Arial Narrow" w:hAnsi="Arial Narrow"/>
                      <w:b/>
                      <w:color w:val="676C72"/>
                      <w:sz w:val="22"/>
                      <w:szCs w:val="22"/>
                      <w:lang w:val="en-US"/>
                    </w:rPr>
                    <w:t xml:space="preserve">• </w:t>
                  </w:r>
                  <w:r w:rsidRPr="00E70E7A">
                    <w:rPr>
                      <w:rFonts w:ascii="Arial Narrow" w:hAnsi="Arial Narrow"/>
                      <w:color w:val="676C72"/>
                      <w:spacing w:val="10"/>
                      <w:sz w:val="22"/>
                      <w:szCs w:val="22"/>
                      <w:lang w:val="en-US"/>
                    </w:rPr>
                    <w:t>Journal of Finance and Financial Law</w:t>
                  </w:r>
                  <w:r w:rsidRPr="00E70E7A">
                    <w:rPr>
                      <w:rFonts w:ascii="Arial Narrow" w:hAnsi="Arial Narrow"/>
                      <w:b/>
                      <w:color w:val="676C72"/>
                      <w:sz w:val="22"/>
                      <w:szCs w:val="22"/>
                      <w:lang w:val="en-US"/>
                    </w:rPr>
                    <w:t xml:space="preserve"> •</w:t>
                  </w:r>
                </w:p>
              </w:txbxContent>
            </v:textbox>
          </v:shape>
          <v:shape id="_x0000_s2054" type="#_x0000_t202" style="position:absolute;left:7365;top:1653;width:959;height:282" stroked="f" strokecolor="#676c72">
            <v:fill opacity="0"/>
            <v:textbox style="mso-next-textbox:#_x0000_s2054" inset="0,1.5mm,0,0">
              <w:txbxContent>
                <w:p w:rsidR="00072469" w:rsidRPr="00A56A97" w:rsidRDefault="00072469" w:rsidP="00267DC4">
                  <w:pPr>
                    <w:jc w:val="right"/>
                    <w:rPr>
                      <w:sz w:val="16"/>
                    </w:rPr>
                  </w:pPr>
                  <w:r>
                    <w:rPr>
                      <w:rFonts w:ascii="Arial Narrow" w:hAnsi="Arial Narrow"/>
                      <w:color w:val="676C72"/>
                      <w:sz w:val="16"/>
                      <w:szCs w:val="22"/>
                    </w:rPr>
                    <w:t>2014, vol. 3</w:t>
                  </w:r>
                </w:p>
              </w:txbxContent>
            </v:textbox>
          </v:shape>
        </v:group>
      </w:pict>
    </w:r>
    <w:r w:rsidR="00072469" w:rsidRPr="00A56A97">
      <w:rPr>
        <w:rFonts w:ascii="Arial Narrow" w:hAnsi="Arial Narrow"/>
        <w:b/>
        <w:color w:val="676C72"/>
        <w:spacing w:val="80"/>
        <w:sz w:val="22"/>
        <w:szCs w:val="22"/>
      </w:rPr>
      <w:t xml:space="preserve"> </w:t>
    </w:r>
    <w:r w:rsidR="00072469" w:rsidRPr="00A56A97">
      <w:rPr>
        <w:rFonts w:ascii="Arial Narrow" w:hAnsi="Arial Narrow"/>
        <w:b/>
        <w:color w:val="676C72"/>
        <w:spacing w:val="80"/>
        <w:sz w:val="2"/>
        <w:szCs w:val="22"/>
      </w:rPr>
      <w:t xml:space="preserve">                                                                         </w:t>
    </w:r>
  </w:p>
  <w:p w:rsidR="00072469" w:rsidRDefault="00072469" w:rsidP="00267DC4">
    <w:pPr>
      <w:pStyle w:val="Nagwek"/>
      <w:spacing w:line="240" w:lineRule="auto"/>
      <w:jc w:val="right"/>
      <w:rPr>
        <w:rFonts w:ascii="Arial Narrow" w:hAnsi="Arial Narrow"/>
        <w:b/>
        <w:color w:val="676C72"/>
        <w:spacing w:val="50"/>
        <w:szCs w:val="22"/>
        <w:lang w:val="en-US"/>
      </w:rPr>
    </w:pPr>
  </w:p>
  <w:p w:rsidR="00072469" w:rsidRPr="00267DC4" w:rsidRDefault="00992FEE" w:rsidP="00267DC4">
    <w:pPr>
      <w:pStyle w:val="Nagwek"/>
      <w:rPr>
        <w:szCs w:val="14"/>
      </w:rPr>
    </w:pPr>
    <w:r w:rsidRPr="00992FEE">
      <w:rPr>
        <w:rFonts w:ascii="Arial Narrow" w:hAnsi="Arial Narrow"/>
        <w:b/>
        <w:noProof/>
        <w:color w:val="676C72"/>
        <w:spacing w:val="135"/>
        <w:szCs w:val="22"/>
      </w:rPr>
      <w:pict>
        <v:shape id="_x0000_s2051" type="#_x0000_t32" style="position:absolute;margin-left:-.5pt;margin-top:9.05pt;width:357.15pt;height:.05pt;z-index:251654144" o:connectortype="straight" strokecolor="#89b137"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888"/>
    <w:multiLevelType w:val="hybridMultilevel"/>
    <w:tmpl w:val="EECC89C2"/>
    <w:lvl w:ilvl="0" w:tplc="14BE3560">
      <w:start w:val="1"/>
      <w:numFmt w:val="bullet"/>
      <w:lvlText w:val=""/>
      <w:lvlJc w:val="left"/>
      <w:pPr>
        <w:tabs>
          <w:tab w:val="num" w:pos="2538"/>
        </w:tabs>
        <w:ind w:left="2538" w:hanging="284"/>
      </w:pPr>
      <w:rPr>
        <w:rFonts w:ascii="Symbol" w:hAnsi="Symbol" w:hint="default"/>
      </w:rPr>
    </w:lvl>
    <w:lvl w:ilvl="1" w:tplc="14BE3560">
      <w:start w:val="1"/>
      <w:numFmt w:val="bullet"/>
      <w:lvlText w:val=""/>
      <w:lvlJc w:val="left"/>
      <w:pPr>
        <w:tabs>
          <w:tab w:val="num" w:pos="1818"/>
        </w:tabs>
        <w:ind w:left="1818" w:hanging="284"/>
      </w:pPr>
      <w:rPr>
        <w:rFonts w:ascii="Symbol" w:hAnsi="Symbol" w:hint="default"/>
      </w:rPr>
    </w:lvl>
    <w:lvl w:ilvl="2" w:tplc="04150005" w:tentative="1">
      <w:start w:val="1"/>
      <w:numFmt w:val="bullet"/>
      <w:lvlText w:val=""/>
      <w:lvlJc w:val="left"/>
      <w:pPr>
        <w:tabs>
          <w:tab w:val="num" w:pos="2614"/>
        </w:tabs>
        <w:ind w:left="2614" w:hanging="360"/>
      </w:pPr>
      <w:rPr>
        <w:rFonts w:ascii="Wingdings" w:hAnsi="Wingdings" w:hint="default"/>
      </w:rPr>
    </w:lvl>
    <w:lvl w:ilvl="3" w:tplc="04150001" w:tentative="1">
      <w:start w:val="1"/>
      <w:numFmt w:val="bullet"/>
      <w:lvlText w:val=""/>
      <w:lvlJc w:val="left"/>
      <w:pPr>
        <w:tabs>
          <w:tab w:val="num" w:pos="3334"/>
        </w:tabs>
        <w:ind w:left="3334" w:hanging="360"/>
      </w:pPr>
      <w:rPr>
        <w:rFonts w:ascii="Symbol" w:hAnsi="Symbol" w:hint="default"/>
      </w:rPr>
    </w:lvl>
    <w:lvl w:ilvl="4" w:tplc="04150003" w:tentative="1">
      <w:start w:val="1"/>
      <w:numFmt w:val="bullet"/>
      <w:lvlText w:val="o"/>
      <w:lvlJc w:val="left"/>
      <w:pPr>
        <w:tabs>
          <w:tab w:val="num" w:pos="4054"/>
        </w:tabs>
        <w:ind w:left="4054" w:hanging="360"/>
      </w:pPr>
      <w:rPr>
        <w:rFonts w:ascii="Courier New" w:hAnsi="Courier New" w:cs="Courier New" w:hint="default"/>
      </w:rPr>
    </w:lvl>
    <w:lvl w:ilvl="5" w:tplc="04150005" w:tentative="1">
      <w:start w:val="1"/>
      <w:numFmt w:val="bullet"/>
      <w:lvlText w:val=""/>
      <w:lvlJc w:val="left"/>
      <w:pPr>
        <w:tabs>
          <w:tab w:val="num" w:pos="4774"/>
        </w:tabs>
        <w:ind w:left="4774" w:hanging="360"/>
      </w:pPr>
      <w:rPr>
        <w:rFonts w:ascii="Wingdings" w:hAnsi="Wingdings" w:hint="default"/>
      </w:rPr>
    </w:lvl>
    <w:lvl w:ilvl="6" w:tplc="04150001" w:tentative="1">
      <w:start w:val="1"/>
      <w:numFmt w:val="bullet"/>
      <w:lvlText w:val=""/>
      <w:lvlJc w:val="left"/>
      <w:pPr>
        <w:tabs>
          <w:tab w:val="num" w:pos="5494"/>
        </w:tabs>
        <w:ind w:left="5494" w:hanging="360"/>
      </w:pPr>
      <w:rPr>
        <w:rFonts w:ascii="Symbol" w:hAnsi="Symbol" w:hint="default"/>
      </w:rPr>
    </w:lvl>
    <w:lvl w:ilvl="7" w:tplc="04150003" w:tentative="1">
      <w:start w:val="1"/>
      <w:numFmt w:val="bullet"/>
      <w:lvlText w:val="o"/>
      <w:lvlJc w:val="left"/>
      <w:pPr>
        <w:tabs>
          <w:tab w:val="num" w:pos="6214"/>
        </w:tabs>
        <w:ind w:left="6214" w:hanging="360"/>
      </w:pPr>
      <w:rPr>
        <w:rFonts w:ascii="Courier New" w:hAnsi="Courier New" w:cs="Courier New" w:hint="default"/>
      </w:rPr>
    </w:lvl>
    <w:lvl w:ilvl="8" w:tplc="04150005" w:tentative="1">
      <w:start w:val="1"/>
      <w:numFmt w:val="bullet"/>
      <w:lvlText w:val=""/>
      <w:lvlJc w:val="left"/>
      <w:pPr>
        <w:tabs>
          <w:tab w:val="num" w:pos="6934"/>
        </w:tabs>
        <w:ind w:left="6934" w:hanging="360"/>
      </w:pPr>
      <w:rPr>
        <w:rFonts w:ascii="Wingdings" w:hAnsi="Wingdings" w:hint="default"/>
      </w:rPr>
    </w:lvl>
  </w:abstractNum>
  <w:abstractNum w:abstractNumId="1">
    <w:nsid w:val="066C2041"/>
    <w:multiLevelType w:val="hybridMultilevel"/>
    <w:tmpl w:val="468617F6"/>
    <w:lvl w:ilvl="0" w:tplc="A5F2A974">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AB8672F"/>
    <w:multiLevelType w:val="hybridMultilevel"/>
    <w:tmpl w:val="B99E8908"/>
    <w:lvl w:ilvl="0" w:tplc="4E50B838">
      <w:numFmt w:val="bullet"/>
      <w:lvlText w:val="-"/>
      <w:lvlJc w:val="left"/>
      <w:pPr>
        <w:ind w:left="420" w:hanging="360"/>
      </w:pPr>
      <w:rPr>
        <w:rFonts w:ascii="Times New Roman" w:eastAsiaTheme="minorHAnsi" w:hAnsi="Times New Roman"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
    <w:nsid w:val="125E5E00"/>
    <w:multiLevelType w:val="hybridMultilevel"/>
    <w:tmpl w:val="D16A609E"/>
    <w:lvl w:ilvl="0" w:tplc="2C680D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1C71D6"/>
    <w:multiLevelType w:val="multilevel"/>
    <w:tmpl w:val="C5B44122"/>
    <w:lvl w:ilvl="0">
      <w:start w:val="1"/>
      <w:numFmt w:val="decimal"/>
      <w:pStyle w:val="Tekstwtabeliwypunktowany8p"/>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7204DFA"/>
    <w:multiLevelType w:val="hybridMultilevel"/>
    <w:tmpl w:val="E14CBE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05A510C"/>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3FBB3072"/>
    <w:multiLevelType w:val="hybridMultilevel"/>
    <w:tmpl w:val="2990CFA4"/>
    <w:lvl w:ilvl="0" w:tplc="8188CC3C">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44F408FC"/>
    <w:multiLevelType w:val="hybridMultilevel"/>
    <w:tmpl w:val="9FBEE1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45FD3AD4"/>
    <w:multiLevelType w:val="hybridMultilevel"/>
    <w:tmpl w:val="345622EC"/>
    <w:lvl w:ilvl="0" w:tplc="8B8A9382">
      <w:start w:val="1"/>
      <w:numFmt w:val="decimal"/>
      <w:pStyle w:val="Wypunktowanieliczbaznawiasem10p"/>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475143A6"/>
    <w:multiLevelType w:val="hybridMultilevel"/>
    <w:tmpl w:val="31C2379C"/>
    <w:lvl w:ilvl="0" w:tplc="B77C85BC">
      <w:start w:val="1"/>
      <w:numFmt w:val="decimal"/>
      <w:lvlText w:val="%1)"/>
      <w:lvlJc w:val="left"/>
      <w:pPr>
        <w:ind w:left="720" w:hanging="360"/>
      </w:pPr>
      <w:rPr>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B106AA"/>
    <w:multiLevelType w:val="hybridMultilevel"/>
    <w:tmpl w:val="D5D62F62"/>
    <w:lvl w:ilvl="0" w:tplc="14BE3560">
      <w:start w:val="1"/>
      <w:numFmt w:val="bullet"/>
      <w:lvlText w:val=""/>
      <w:lvlJc w:val="left"/>
      <w:pPr>
        <w:tabs>
          <w:tab w:val="num" w:pos="2538"/>
        </w:tabs>
        <w:ind w:left="2538" w:hanging="284"/>
      </w:pPr>
      <w:rPr>
        <w:rFonts w:ascii="Symbol" w:hAnsi="Symbol" w:hint="default"/>
      </w:rPr>
    </w:lvl>
    <w:lvl w:ilvl="1" w:tplc="72744310">
      <w:start w:val="1"/>
      <w:numFmt w:val="bullet"/>
      <w:lvlText w:val=""/>
      <w:lvlJc w:val="left"/>
      <w:pPr>
        <w:tabs>
          <w:tab w:val="num" w:pos="1894"/>
        </w:tabs>
        <w:ind w:left="1817" w:hanging="283"/>
      </w:pPr>
      <w:rPr>
        <w:rFonts w:ascii="Symbol" w:hAnsi="Symbol" w:hint="default"/>
      </w:rPr>
    </w:lvl>
    <w:lvl w:ilvl="2" w:tplc="04150005" w:tentative="1">
      <w:start w:val="1"/>
      <w:numFmt w:val="bullet"/>
      <w:lvlText w:val=""/>
      <w:lvlJc w:val="left"/>
      <w:pPr>
        <w:tabs>
          <w:tab w:val="num" w:pos="2614"/>
        </w:tabs>
        <w:ind w:left="2614" w:hanging="360"/>
      </w:pPr>
      <w:rPr>
        <w:rFonts w:ascii="Wingdings" w:hAnsi="Wingdings" w:hint="default"/>
      </w:rPr>
    </w:lvl>
    <w:lvl w:ilvl="3" w:tplc="04150001" w:tentative="1">
      <w:start w:val="1"/>
      <w:numFmt w:val="bullet"/>
      <w:lvlText w:val=""/>
      <w:lvlJc w:val="left"/>
      <w:pPr>
        <w:tabs>
          <w:tab w:val="num" w:pos="3334"/>
        </w:tabs>
        <w:ind w:left="3334" w:hanging="360"/>
      </w:pPr>
      <w:rPr>
        <w:rFonts w:ascii="Symbol" w:hAnsi="Symbol" w:hint="default"/>
      </w:rPr>
    </w:lvl>
    <w:lvl w:ilvl="4" w:tplc="04150003" w:tentative="1">
      <w:start w:val="1"/>
      <w:numFmt w:val="bullet"/>
      <w:lvlText w:val="o"/>
      <w:lvlJc w:val="left"/>
      <w:pPr>
        <w:tabs>
          <w:tab w:val="num" w:pos="4054"/>
        </w:tabs>
        <w:ind w:left="4054" w:hanging="360"/>
      </w:pPr>
      <w:rPr>
        <w:rFonts w:ascii="Courier New" w:hAnsi="Courier New" w:cs="Courier New" w:hint="default"/>
      </w:rPr>
    </w:lvl>
    <w:lvl w:ilvl="5" w:tplc="04150005" w:tentative="1">
      <w:start w:val="1"/>
      <w:numFmt w:val="bullet"/>
      <w:lvlText w:val=""/>
      <w:lvlJc w:val="left"/>
      <w:pPr>
        <w:tabs>
          <w:tab w:val="num" w:pos="4774"/>
        </w:tabs>
        <w:ind w:left="4774" w:hanging="360"/>
      </w:pPr>
      <w:rPr>
        <w:rFonts w:ascii="Wingdings" w:hAnsi="Wingdings" w:hint="default"/>
      </w:rPr>
    </w:lvl>
    <w:lvl w:ilvl="6" w:tplc="04150001" w:tentative="1">
      <w:start w:val="1"/>
      <w:numFmt w:val="bullet"/>
      <w:lvlText w:val=""/>
      <w:lvlJc w:val="left"/>
      <w:pPr>
        <w:tabs>
          <w:tab w:val="num" w:pos="5494"/>
        </w:tabs>
        <w:ind w:left="5494" w:hanging="360"/>
      </w:pPr>
      <w:rPr>
        <w:rFonts w:ascii="Symbol" w:hAnsi="Symbol" w:hint="default"/>
      </w:rPr>
    </w:lvl>
    <w:lvl w:ilvl="7" w:tplc="04150003" w:tentative="1">
      <w:start w:val="1"/>
      <w:numFmt w:val="bullet"/>
      <w:lvlText w:val="o"/>
      <w:lvlJc w:val="left"/>
      <w:pPr>
        <w:tabs>
          <w:tab w:val="num" w:pos="6214"/>
        </w:tabs>
        <w:ind w:left="6214" w:hanging="360"/>
      </w:pPr>
      <w:rPr>
        <w:rFonts w:ascii="Courier New" w:hAnsi="Courier New" w:cs="Courier New" w:hint="default"/>
      </w:rPr>
    </w:lvl>
    <w:lvl w:ilvl="8" w:tplc="04150005" w:tentative="1">
      <w:start w:val="1"/>
      <w:numFmt w:val="bullet"/>
      <w:lvlText w:val=""/>
      <w:lvlJc w:val="left"/>
      <w:pPr>
        <w:tabs>
          <w:tab w:val="num" w:pos="6934"/>
        </w:tabs>
        <w:ind w:left="6934" w:hanging="360"/>
      </w:pPr>
      <w:rPr>
        <w:rFonts w:ascii="Wingdings" w:hAnsi="Wingdings" w:hint="default"/>
      </w:rPr>
    </w:lvl>
  </w:abstractNum>
  <w:abstractNum w:abstractNumId="12">
    <w:nsid w:val="4A5B50B0"/>
    <w:multiLevelType w:val="hybridMultilevel"/>
    <w:tmpl w:val="4896F5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0219F8"/>
    <w:multiLevelType w:val="hybridMultilevel"/>
    <w:tmpl w:val="CB807D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453344C"/>
    <w:multiLevelType w:val="singleLevel"/>
    <w:tmpl w:val="EB583A6C"/>
    <w:lvl w:ilvl="0">
      <w:start w:val="1"/>
      <w:numFmt w:val="bullet"/>
      <w:pStyle w:val="punktowanie"/>
      <w:lvlText w:val="–"/>
      <w:lvlJc w:val="left"/>
      <w:pPr>
        <w:tabs>
          <w:tab w:val="num" w:pos="360"/>
        </w:tabs>
        <w:ind w:left="284" w:hanging="284"/>
      </w:pPr>
      <w:rPr>
        <w:rFonts w:ascii="MS Serif" w:hAnsi="MS Serif" w:hint="default"/>
      </w:rPr>
    </w:lvl>
  </w:abstractNum>
  <w:abstractNum w:abstractNumId="15">
    <w:nsid w:val="58F0415D"/>
    <w:multiLevelType w:val="hybridMultilevel"/>
    <w:tmpl w:val="F5AC51DC"/>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5F657792"/>
    <w:multiLevelType w:val="hybridMultilevel"/>
    <w:tmpl w:val="E068B422"/>
    <w:lvl w:ilvl="0" w:tplc="5BFC70A4">
      <w:start w:val="1"/>
      <w:numFmt w:val="decimal"/>
      <w:lvlText w:val="%1)"/>
      <w:lvlJc w:val="left"/>
      <w:pPr>
        <w:tabs>
          <w:tab w:val="num" w:pos="2348"/>
        </w:tabs>
        <w:ind w:left="2348" w:hanging="360"/>
      </w:pPr>
      <w:rPr>
        <w:rFonts w:hint="default"/>
      </w:rPr>
    </w:lvl>
    <w:lvl w:ilvl="1" w:tplc="859E9A1E">
      <w:start w:val="1"/>
      <w:numFmt w:val="decimal"/>
      <w:lvlText w:val="%2)"/>
      <w:lvlJc w:val="left"/>
      <w:pPr>
        <w:tabs>
          <w:tab w:val="num" w:pos="1894"/>
        </w:tabs>
        <w:ind w:left="1894" w:hanging="360"/>
      </w:pPr>
      <w:rPr>
        <w:rFonts w:hint="default"/>
      </w:rPr>
    </w:lvl>
    <w:lvl w:ilvl="2" w:tplc="0415001B" w:tentative="1">
      <w:start w:val="1"/>
      <w:numFmt w:val="lowerRoman"/>
      <w:lvlText w:val="%3."/>
      <w:lvlJc w:val="right"/>
      <w:pPr>
        <w:tabs>
          <w:tab w:val="num" w:pos="2614"/>
        </w:tabs>
        <w:ind w:left="2614" w:hanging="180"/>
      </w:pPr>
    </w:lvl>
    <w:lvl w:ilvl="3" w:tplc="0415000F" w:tentative="1">
      <w:start w:val="1"/>
      <w:numFmt w:val="decimal"/>
      <w:lvlText w:val="%4."/>
      <w:lvlJc w:val="left"/>
      <w:pPr>
        <w:tabs>
          <w:tab w:val="num" w:pos="3334"/>
        </w:tabs>
        <w:ind w:left="3334" w:hanging="360"/>
      </w:pPr>
    </w:lvl>
    <w:lvl w:ilvl="4" w:tplc="04150019" w:tentative="1">
      <w:start w:val="1"/>
      <w:numFmt w:val="lowerLetter"/>
      <w:lvlText w:val="%5."/>
      <w:lvlJc w:val="left"/>
      <w:pPr>
        <w:tabs>
          <w:tab w:val="num" w:pos="4054"/>
        </w:tabs>
        <w:ind w:left="4054" w:hanging="360"/>
      </w:pPr>
    </w:lvl>
    <w:lvl w:ilvl="5" w:tplc="0415001B" w:tentative="1">
      <w:start w:val="1"/>
      <w:numFmt w:val="lowerRoman"/>
      <w:lvlText w:val="%6."/>
      <w:lvlJc w:val="right"/>
      <w:pPr>
        <w:tabs>
          <w:tab w:val="num" w:pos="4774"/>
        </w:tabs>
        <w:ind w:left="4774" w:hanging="180"/>
      </w:pPr>
    </w:lvl>
    <w:lvl w:ilvl="6" w:tplc="0415000F" w:tentative="1">
      <w:start w:val="1"/>
      <w:numFmt w:val="decimal"/>
      <w:lvlText w:val="%7."/>
      <w:lvlJc w:val="left"/>
      <w:pPr>
        <w:tabs>
          <w:tab w:val="num" w:pos="5494"/>
        </w:tabs>
        <w:ind w:left="5494" w:hanging="360"/>
      </w:pPr>
    </w:lvl>
    <w:lvl w:ilvl="7" w:tplc="04150019" w:tentative="1">
      <w:start w:val="1"/>
      <w:numFmt w:val="lowerLetter"/>
      <w:lvlText w:val="%8."/>
      <w:lvlJc w:val="left"/>
      <w:pPr>
        <w:tabs>
          <w:tab w:val="num" w:pos="6214"/>
        </w:tabs>
        <w:ind w:left="6214" w:hanging="360"/>
      </w:pPr>
    </w:lvl>
    <w:lvl w:ilvl="8" w:tplc="0415001B" w:tentative="1">
      <w:start w:val="1"/>
      <w:numFmt w:val="lowerRoman"/>
      <w:lvlText w:val="%9."/>
      <w:lvlJc w:val="right"/>
      <w:pPr>
        <w:tabs>
          <w:tab w:val="num" w:pos="6934"/>
        </w:tabs>
        <w:ind w:left="6934" w:hanging="180"/>
      </w:pPr>
    </w:lvl>
  </w:abstractNum>
  <w:abstractNum w:abstractNumId="17">
    <w:nsid w:val="65134C91"/>
    <w:multiLevelType w:val="hybridMultilevel"/>
    <w:tmpl w:val="777C3BF8"/>
    <w:lvl w:ilvl="0" w:tplc="ED6288F0">
      <w:start w:val="1"/>
      <w:numFmt w:val="decimal"/>
      <w:pStyle w:val="Wypunktowanieliczbazkropk10p"/>
      <w:lvlText w:val="%1."/>
      <w:lvlJc w:val="left"/>
      <w:pPr>
        <w:tabs>
          <w:tab w:val="num" w:pos="1894"/>
        </w:tabs>
        <w:ind w:left="1894"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56F1A10"/>
    <w:multiLevelType w:val="hybridMultilevel"/>
    <w:tmpl w:val="D5D62F62"/>
    <w:lvl w:ilvl="0" w:tplc="14BE3560">
      <w:start w:val="1"/>
      <w:numFmt w:val="bullet"/>
      <w:lvlText w:val=""/>
      <w:lvlJc w:val="left"/>
      <w:pPr>
        <w:tabs>
          <w:tab w:val="num" w:pos="2538"/>
        </w:tabs>
        <w:ind w:left="2538" w:hanging="284"/>
      </w:pPr>
      <w:rPr>
        <w:rFonts w:ascii="Symbol" w:hAnsi="Symbol" w:hint="default"/>
      </w:rPr>
    </w:lvl>
    <w:lvl w:ilvl="1" w:tplc="DF507DC8">
      <w:start w:val="1"/>
      <w:numFmt w:val="bullet"/>
      <w:lvlText w:val=""/>
      <w:lvlJc w:val="left"/>
      <w:pPr>
        <w:tabs>
          <w:tab w:val="num" w:pos="814"/>
        </w:tabs>
        <w:ind w:left="714" w:hanging="260"/>
      </w:pPr>
      <w:rPr>
        <w:rFonts w:ascii="Symbol" w:hAnsi="Symbol" w:hint="default"/>
      </w:rPr>
    </w:lvl>
    <w:lvl w:ilvl="2" w:tplc="04150005">
      <w:start w:val="1"/>
      <w:numFmt w:val="bullet"/>
      <w:lvlText w:val=""/>
      <w:lvlJc w:val="left"/>
      <w:pPr>
        <w:tabs>
          <w:tab w:val="num" w:pos="2614"/>
        </w:tabs>
        <w:ind w:left="2614" w:hanging="360"/>
      </w:pPr>
      <w:rPr>
        <w:rFonts w:ascii="Wingdings" w:hAnsi="Wingdings" w:hint="default"/>
      </w:rPr>
    </w:lvl>
    <w:lvl w:ilvl="3" w:tplc="04150001">
      <w:start w:val="1"/>
      <w:numFmt w:val="bullet"/>
      <w:lvlText w:val=""/>
      <w:lvlJc w:val="left"/>
      <w:pPr>
        <w:tabs>
          <w:tab w:val="num" w:pos="3334"/>
        </w:tabs>
        <w:ind w:left="3334" w:hanging="360"/>
      </w:pPr>
      <w:rPr>
        <w:rFonts w:ascii="Symbol" w:hAnsi="Symbol" w:hint="default"/>
      </w:rPr>
    </w:lvl>
    <w:lvl w:ilvl="4" w:tplc="04150003">
      <w:start w:val="1"/>
      <w:numFmt w:val="bullet"/>
      <w:lvlText w:val="o"/>
      <w:lvlJc w:val="left"/>
      <w:pPr>
        <w:tabs>
          <w:tab w:val="num" w:pos="4054"/>
        </w:tabs>
        <w:ind w:left="4054" w:hanging="360"/>
      </w:pPr>
      <w:rPr>
        <w:rFonts w:ascii="Courier New" w:hAnsi="Courier New" w:hint="default"/>
      </w:rPr>
    </w:lvl>
    <w:lvl w:ilvl="5" w:tplc="04150005">
      <w:start w:val="1"/>
      <w:numFmt w:val="bullet"/>
      <w:lvlText w:val=""/>
      <w:lvlJc w:val="left"/>
      <w:pPr>
        <w:tabs>
          <w:tab w:val="num" w:pos="4774"/>
        </w:tabs>
        <w:ind w:left="4774" w:hanging="360"/>
      </w:pPr>
      <w:rPr>
        <w:rFonts w:ascii="Wingdings" w:hAnsi="Wingdings" w:hint="default"/>
      </w:rPr>
    </w:lvl>
    <w:lvl w:ilvl="6" w:tplc="04150001">
      <w:start w:val="1"/>
      <w:numFmt w:val="bullet"/>
      <w:lvlText w:val=""/>
      <w:lvlJc w:val="left"/>
      <w:pPr>
        <w:tabs>
          <w:tab w:val="num" w:pos="5494"/>
        </w:tabs>
        <w:ind w:left="5494" w:hanging="360"/>
      </w:pPr>
      <w:rPr>
        <w:rFonts w:ascii="Symbol" w:hAnsi="Symbol" w:hint="default"/>
      </w:rPr>
    </w:lvl>
    <w:lvl w:ilvl="7" w:tplc="04150003">
      <w:start w:val="1"/>
      <w:numFmt w:val="bullet"/>
      <w:lvlText w:val="o"/>
      <w:lvlJc w:val="left"/>
      <w:pPr>
        <w:tabs>
          <w:tab w:val="num" w:pos="6214"/>
        </w:tabs>
        <w:ind w:left="6214" w:hanging="360"/>
      </w:pPr>
      <w:rPr>
        <w:rFonts w:ascii="Courier New" w:hAnsi="Courier New" w:hint="default"/>
      </w:rPr>
    </w:lvl>
    <w:lvl w:ilvl="8" w:tplc="04150005">
      <w:start w:val="1"/>
      <w:numFmt w:val="bullet"/>
      <w:lvlText w:val=""/>
      <w:lvlJc w:val="left"/>
      <w:pPr>
        <w:tabs>
          <w:tab w:val="num" w:pos="6934"/>
        </w:tabs>
        <w:ind w:left="6934" w:hanging="360"/>
      </w:pPr>
      <w:rPr>
        <w:rFonts w:ascii="Wingdings" w:hAnsi="Wingdings" w:hint="default"/>
      </w:rPr>
    </w:lvl>
  </w:abstractNum>
  <w:abstractNum w:abstractNumId="19">
    <w:nsid w:val="6AC302D2"/>
    <w:multiLevelType w:val="hybridMultilevel"/>
    <w:tmpl w:val="DBCE0D66"/>
    <w:lvl w:ilvl="0" w:tplc="5BFC70A4">
      <w:start w:val="1"/>
      <w:numFmt w:val="decimal"/>
      <w:lvlText w:val="%1)"/>
      <w:lvlJc w:val="left"/>
      <w:pPr>
        <w:tabs>
          <w:tab w:val="num" w:pos="1894"/>
        </w:tabs>
        <w:ind w:left="189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BC77A12"/>
    <w:multiLevelType w:val="hybridMultilevel"/>
    <w:tmpl w:val="19D45D80"/>
    <w:lvl w:ilvl="0" w:tplc="80EA1436">
      <w:start w:val="1"/>
      <w:numFmt w:val="decimal"/>
      <w:lvlText w:val="%1."/>
      <w:lvlJc w:val="left"/>
      <w:pPr>
        <w:ind w:left="720" w:hanging="360"/>
      </w:pPr>
      <w:rPr>
        <w:rFonts w:hint="default"/>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6D3615"/>
    <w:multiLevelType w:val="hybridMultilevel"/>
    <w:tmpl w:val="81B8CD06"/>
    <w:lvl w:ilvl="0" w:tplc="FD14B5D2">
      <w:start w:val="1"/>
      <w:numFmt w:val="bullet"/>
      <w:pStyle w:val="Wypunktowanie"/>
      <w:lvlText w:val="–"/>
      <w:lvlJc w:val="left"/>
      <w:pPr>
        <w:tabs>
          <w:tab w:val="num" w:pos="624"/>
        </w:tabs>
        <w:ind w:left="0" w:firstLine="397"/>
      </w:pPr>
      <w:rPr>
        <w:rFonts w:ascii="MS Serif" w:hAnsi="MS Serif"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E1566CE"/>
    <w:multiLevelType w:val="multilevel"/>
    <w:tmpl w:val="E14CBE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8DE1D9A"/>
    <w:multiLevelType w:val="hybridMultilevel"/>
    <w:tmpl w:val="AC129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19"/>
  </w:num>
  <w:num w:numId="5">
    <w:abstractNumId w:val="0"/>
  </w:num>
  <w:num w:numId="6">
    <w:abstractNumId w:val="5"/>
  </w:num>
  <w:num w:numId="7">
    <w:abstractNumId w:val="22"/>
  </w:num>
  <w:num w:numId="8">
    <w:abstractNumId w:val="13"/>
  </w:num>
  <w:num w:numId="9">
    <w:abstractNumId w:val="1"/>
  </w:num>
  <w:num w:numId="10">
    <w:abstractNumId w:val="6"/>
  </w:num>
  <w:num w:numId="11">
    <w:abstractNumId w:val="18"/>
  </w:num>
  <w:num w:numId="12">
    <w:abstractNumId w:val="17"/>
  </w:num>
  <w:num w:numId="13">
    <w:abstractNumId w:val="7"/>
  </w:num>
  <w:num w:numId="14">
    <w:abstractNumId w:val="7"/>
  </w:num>
  <w:num w:numId="15">
    <w:abstractNumId w:val="7"/>
    <w:lvlOverride w:ilvl="0">
      <w:startOverride w:val="1"/>
    </w:lvlOverride>
  </w:num>
  <w:num w:numId="16">
    <w:abstractNumId w:val="7"/>
  </w:num>
  <w:num w:numId="17">
    <w:abstractNumId w:val="7"/>
    <w:lvlOverride w:ilvl="0">
      <w:startOverride w:val="1"/>
    </w:lvlOverride>
  </w:num>
  <w:num w:numId="18">
    <w:abstractNumId w:val="9"/>
  </w:num>
  <w:num w:numId="19">
    <w:abstractNumId w:val="21"/>
  </w:num>
  <w:num w:numId="20">
    <w:abstractNumId w:val="8"/>
  </w:num>
  <w:num w:numId="21">
    <w:abstractNumId w:val="23"/>
  </w:num>
  <w:num w:numId="22">
    <w:abstractNumId w:val="15"/>
  </w:num>
  <w:num w:numId="23">
    <w:abstractNumId w:val="4"/>
  </w:num>
  <w:num w:numId="24">
    <w:abstractNumId w:val="3"/>
  </w:num>
  <w:num w:numId="25">
    <w:abstractNumId w:val="20"/>
  </w:num>
  <w:num w:numId="26">
    <w:abstractNumId w:val="2"/>
  </w:num>
  <w:num w:numId="27">
    <w:abstractNumId w:val="1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defaultTabStop w:val="709"/>
  <w:autoHyphenation/>
  <w:hyphenationZone w:val="425"/>
  <w:evenAndOddHeaders/>
  <w:noPunctuationKerning/>
  <w:characterSpacingControl w:val="doNotCompress"/>
  <w:hdrShapeDefaults>
    <o:shapedefaults v:ext="edit" spidmax="2086"/>
    <o:shapelayout v:ext="edit">
      <o:idmap v:ext="edit" data="2"/>
      <o:rules v:ext="edit">
        <o:r id="V:Rule3" type="connector" idref="#_x0000_s2049"/>
        <o:r id="V:Rule4" type="callout" idref="#_x0000_s2072"/>
        <o:r id="V:Rule5" type="callout" idref="#_x0000_s2079"/>
        <o:r id="V:Rule6" type="callout" idref="#_x0000_s2067"/>
        <o:r id="V:Rule7" type="connector" idref="#_x0000_s2051"/>
      </o:rules>
    </o:shapelayout>
  </w:hdrShapeDefaults>
  <w:footnotePr>
    <w:footnote w:id="-1"/>
    <w:footnote w:id="0"/>
    <w:footnote w:id="1"/>
  </w:footnotePr>
  <w:endnotePr>
    <w:endnote w:id="-1"/>
    <w:endnote w:id="0"/>
  </w:endnotePr>
  <w:compat/>
  <w:rsids>
    <w:rsidRoot w:val="002346FE"/>
    <w:rsid w:val="00015785"/>
    <w:rsid w:val="00016771"/>
    <w:rsid w:val="00023C9E"/>
    <w:rsid w:val="000254F0"/>
    <w:rsid w:val="00027DC4"/>
    <w:rsid w:val="00053FC6"/>
    <w:rsid w:val="00061B9E"/>
    <w:rsid w:val="00072469"/>
    <w:rsid w:val="000761D1"/>
    <w:rsid w:val="000906F2"/>
    <w:rsid w:val="0009519A"/>
    <w:rsid w:val="0009643B"/>
    <w:rsid w:val="00096EE3"/>
    <w:rsid w:val="000A6372"/>
    <w:rsid w:val="000A63C4"/>
    <w:rsid w:val="000A6D89"/>
    <w:rsid w:val="000C7A44"/>
    <w:rsid w:val="000E2191"/>
    <w:rsid w:val="00101E8C"/>
    <w:rsid w:val="00102475"/>
    <w:rsid w:val="00112066"/>
    <w:rsid w:val="00115336"/>
    <w:rsid w:val="001224D7"/>
    <w:rsid w:val="0012533C"/>
    <w:rsid w:val="00127AA6"/>
    <w:rsid w:val="00131FA9"/>
    <w:rsid w:val="0013413A"/>
    <w:rsid w:val="001432F5"/>
    <w:rsid w:val="00145AB4"/>
    <w:rsid w:val="00147638"/>
    <w:rsid w:val="00154E52"/>
    <w:rsid w:val="001554F9"/>
    <w:rsid w:val="0016242F"/>
    <w:rsid w:val="001674B5"/>
    <w:rsid w:val="001708F9"/>
    <w:rsid w:val="00170931"/>
    <w:rsid w:val="0017146F"/>
    <w:rsid w:val="001763EF"/>
    <w:rsid w:val="00191CBC"/>
    <w:rsid w:val="001A0AE7"/>
    <w:rsid w:val="001A2923"/>
    <w:rsid w:val="001B077B"/>
    <w:rsid w:val="001B3027"/>
    <w:rsid w:val="001B5E6E"/>
    <w:rsid w:val="001C412C"/>
    <w:rsid w:val="001D4064"/>
    <w:rsid w:val="001D4839"/>
    <w:rsid w:val="001D7ECB"/>
    <w:rsid w:val="001E29B6"/>
    <w:rsid w:val="001E2AC7"/>
    <w:rsid w:val="001F3D16"/>
    <w:rsid w:val="001F5DA6"/>
    <w:rsid w:val="001F6AA7"/>
    <w:rsid w:val="00200AF3"/>
    <w:rsid w:val="00222A24"/>
    <w:rsid w:val="00224CA7"/>
    <w:rsid w:val="00231086"/>
    <w:rsid w:val="002346FE"/>
    <w:rsid w:val="00241BB6"/>
    <w:rsid w:val="0024664D"/>
    <w:rsid w:val="0025012B"/>
    <w:rsid w:val="002501D4"/>
    <w:rsid w:val="002520D2"/>
    <w:rsid w:val="00264B9C"/>
    <w:rsid w:val="00267DC4"/>
    <w:rsid w:val="00272D4E"/>
    <w:rsid w:val="002842D6"/>
    <w:rsid w:val="00290FE7"/>
    <w:rsid w:val="00291BD9"/>
    <w:rsid w:val="0029262B"/>
    <w:rsid w:val="0029715D"/>
    <w:rsid w:val="002A2E32"/>
    <w:rsid w:val="002A2F8B"/>
    <w:rsid w:val="002A4742"/>
    <w:rsid w:val="002B1AC7"/>
    <w:rsid w:val="002D1CDD"/>
    <w:rsid w:val="002E1A43"/>
    <w:rsid w:val="002E7302"/>
    <w:rsid w:val="002F4EA4"/>
    <w:rsid w:val="00305BF4"/>
    <w:rsid w:val="00313E83"/>
    <w:rsid w:val="003144B8"/>
    <w:rsid w:val="0033015A"/>
    <w:rsid w:val="00342D8E"/>
    <w:rsid w:val="00364B83"/>
    <w:rsid w:val="00366C7A"/>
    <w:rsid w:val="00367505"/>
    <w:rsid w:val="00380BE2"/>
    <w:rsid w:val="00385168"/>
    <w:rsid w:val="00385A0C"/>
    <w:rsid w:val="00385CF6"/>
    <w:rsid w:val="003922B7"/>
    <w:rsid w:val="003A68B9"/>
    <w:rsid w:val="003B177A"/>
    <w:rsid w:val="003B2530"/>
    <w:rsid w:val="003B3D6E"/>
    <w:rsid w:val="003B57B7"/>
    <w:rsid w:val="003D22D5"/>
    <w:rsid w:val="003D2604"/>
    <w:rsid w:val="003D637F"/>
    <w:rsid w:val="003F060C"/>
    <w:rsid w:val="00400F0F"/>
    <w:rsid w:val="00404B12"/>
    <w:rsid w:val="0040689C"/>
    <w:rsid w:val="004106BE"/>
    <w:rsid w:val="00422058"/>
    <w:rsid w:val="004305FE"/>
    <w:rsid w:val="00430EEB"/>
    <w:rsid w:val="00433440"/>
    <w:rsid w:val="00433521"/>
    <w:rsid w:val="004402EF"/>
    <w:rsid w:val="00443834"/>
    <w:rsid w:val="004447ED"/>
    <w:rsid w:val="00447336"/>
    <w:rsid w:val="00450834"/>
    <w:rsid w:val="00451CA3"/>
    <w:rsid w:val="00454079"/>
    <w:rsid w:val="00454769"/>
    <w:rsid w:val="00456884"/>
    <w:rsid w:val="004620B6"/>
    <w:rsid w:val="00472211"/>
    <w:rsid w:val="00483D54"/>
    <w:rsid w:val="004C4261"/>
    <w:rsid w:val="004C7D8D"/>
    <w:rsid w:val="004D0F28"/>
    <w:rsid w:val="004D274B"/>
    <w:rsid w:val="004D29A4"/>
    <w:rsid w:val="004D2B4D"/>
    <w:rsid w:val="004D735C"/>
    <w:rsid w:val="004E703C"/>
    <w:rsid w:val="004F7CA0"/>
    <w:rsid w:val="004F7DFF"/>
    <w:rsid w:val="00501184"/>
    <w:rsid w:val="00512C99"/>
    <w:rsid w:val="00521C38"/>
    <w:rsid w:val="00530CF7"/>
    <w:rsid w:val="00540B2C"/>
    <w:rsid w:val="0058129F"/>
    <w:rsid w:val="005947DA"/>
    <w:rsid w:val="0059693C"/>
    <w:rsid w:val="005A06F5"/>
    <w:rsid w:val="005A1203"/>
    <w:rsid w:val="005B36AF"/>
    <w:rsid w:val="005B5DE3"/>
    <w:rsid w:val="005B60CD"/>
    <w:rsid w:val="005B6706"/>
    <w:rsid w:val="005B752F"/>
    <w:rsid w:val="005C0CD8"/>
    <w:rsid w:val="005D4AD3"/>
    <w:rsid w:val="005D5A1E"/>
    <w:rsid w:val="005D69D9"/>
    <w:rsid w:val="005E0EAB"/>
    <w:rsid w:val="005E13E5"/>
    <w:rsid w:val="005E20A1"/>
    <w:rsid w:val="005E4622"/>
    <w:rsid w:val="005F1389"/>
    <w:rsid w:val="005F4276"/>
    <w:rsid w:val="005F5888"/>
    <w:rsid w:val="005F7D32"/>
    <w:rsid w:val="006040C2"/>
    <w:rsid w:val="00611595"/>
    <w:rsid w:val="00621FA7"/>
    <w:rsid w:val="00623E40"/>
    <w:rsid w:val="0062784D"/>
    <w:rsid w:val="00632325"/>
    <w:rsid w:val="0063248E"/>
    <w:rsid w:val="00637F65"/>
    <w:rsid w:val="00642670"/>
    <w:rsid w:val="006513AE"/>
    <w:rsid w:val="00653932"/>
    <w:rsid w:val="00653E4C"/>
    <w:rsid w:val="0066313D"/>
    <w:rsid w:val="00672BA3"/>
    <w:rsid w:val="00682B21"/>
    <w:rsid w:val="00685C99"/>
    <w:rsid w:val="00690981"/>
    <w:rsid w:val="006918B7"/>
    <w:rsid w:val="006978A3"/>
    <w:rsid w:val="006A491E"/>
    <w:rsid w:val="006B0F39"/>
    <w:rsid w:val="006C137E"/>
    <w:rsid w:val="006C1478"/>
    <w:rsid w:val="006C217E"/>
    <w:rsid w:val="006C2C2C"/>
    <w:rsid w:val="006D0983"/>
    <w:rsid w:val="006D1D13"/>
    <w:rsid w:val="006D7713"/>
    <w:rsid w:val="006D78B7"/>
    <w:rsid w:val="006E4A6A"/>
    <w:rsid w:val="006F54FD"/>
    <w:rsid w:val="007005F1"/>
    <w:rsid w:val="00700C32"/>
    <w:rsid w:val="00700EAE"/>
    <w:rsid w:val="00714BBD"/>
    <w:rsid w:val="007257AD"/>
    <w:rsid w:val="00736CE1"/>
    <w:rsid w:val="00754A9C"/>
    <w:rsid w:val="0076109F"/>
    <w:rsid w:val="007641AB"/>
    <w:rsid w:val="0076677E"/>
    <w:rsid w:val="00771B8C"/>
    <w:rsid w:val="00771FCD"/>
    <w:rsid w:val="007761DC"/>
    <w:rsid w:val="00785C5C"/>
    <w:rsid w:val="00785F74"/>
    <w:rsid w:val="0079021A"/>
    <w:rsid w:val="007A037D"/>
    <w:rsid w:val="007A68E3"/>
    <w:rsid w:val="007B637F"/>
    <w:rsid w:val="007D4917"/>
    <w:rsid w:val="007D72B6"/>
    <w:rsid w:val="007E738B"/>
    <w:rsid w:val="007F12D2"/>
    <w:rsid w:val="008160E2"/>
    <w:rsid w:val="00822D81"/>
    <w:rsid w:val="00826FE3"/>
    <w:rsid w:val="00830A54"/>
    <w:rsid w:val="00833A20"/>
    <w:rsid w:val="00837912"/>
    <w:rsid w:val="0084132B"/>
    <w:rsid w:val="00851B03"/>
    <w:rsid w:val="00855DCE"/>
    <w:rsid w:val="008609F3"/>
    <w:rsid w:val="00862158"/>
    <w:rsid w:val="00867453"/>
    <w:rsid w:val="008724A4"/>
    <w:rsid w:val="008805ED"/>
    <w:rsid w:val="008822A6"/>
    <w:rsid w:val="008843FC"/>
    <w:rsid w:val="00884706"/>
    <w:rsid w:val="008855A8"/>
    <w:rsid w:val="00892863"/>
    <w:rsid w:val="00896A1C"/>
    <w:rsid w:val="0089746F"/>
    <w:rsid w:val="008B0410"/>
    <w:rsid w:val="008B7BC4"/>
    <w:rsid w:val="008C09BD"/>
    <w:rsid w:val="008C6296"/>
    <w:rsid w:val="008C6B69"/>
    <w:rsid w:val="008D4BA1"/>
    <w:rsid w:val="008E7BCC"/>
    <w:rsid w:val="008F2237"/>
    <w:rsid w:val="0090776E"/>
    <w:rsid w:val="009364FF"/>
    <w:rsid w:val="00936BA5"/>
    <w:rsid w:val="00950726"/>
    <w:rsid w:val="00951146"/>
    <w:rsid w:val="009678F1"/>
    <w:rsid w:val="00983672"/>
    <w:rsid w:val="00991C9B"/>
    <w:rsid w:val="009922E1"/>
    <w:rsid w:val="00992FEE"/>
    <w:rsid w:val="00993B1D"/>
    <w:rsid w:val="0099666D"/>
    <w:rsid w:val="009973B4"/>
    <w:rsid w:val="00997F15"/>
    <w:rsid w:val="009B6B01"/>
    <w:rsid w:val="009C3881"/>
    <w:rsid w:val="009D0193"/>
    <w:rsid w:val="009E3381"/>
    <w:rsid w:val="009F09B2"/>
    <w:rsid w:val="00A1476D"/>
    <w:rsid w:val="00A16D9A"/>
    <w:rsid w:val="00A21F6D"/>
    <w:rsid w:val="00A27762"/>
    <w:rsid w:val="00A318AC"/>
    <w:rsid w:val="00A34E67"/>
    <w:rsid w:val="00A5127A"/>
    <w:rsid w:val="00A55ADB"/>
    <w:rsid w:val="00A60DFD"/>
    <w:rsid w:val="00A64C5D"/>
    <w:rsid w:val="00A71597"/>
    <w:rsid w:val="00A7494F"/>
    <w:rsid w:val="00A7731D"/>
    <w:rsid w:val="00A80C72"/>
    <w:rsid w:val="00A811A9"/>
    <w:rsid w:val="00A95A7B"/>
    <w:rsid w:val="00AA4CB2"/>
    <w:rsid w:val="00AA534E"/>
    <w:rsid w:val="00AB2032"/>
    <w:rsid w:val="00AB4C5D"/>
    <w:rsid w:val="00AD2191"/>
    <w:rsid w:val="00AF58EF"/>
    <w:rsid w:val="00B0322A"/>
    <w:rsid w:val="00B03C1E"/>
    <w:rsid w:val="00B14D6C"/>
    <w:rsid w:val="00B15901"/>
    <w:rsid w:val="00B25272"/>
    <w:rsid w:val="00B311E1"/>
    <w:rsid w:val="00B34B4C"/>
    <w:rsid w:val="00B37217"/>
    <w:rsid w:val="00B42024"/>
    <w:rsid w:val="00B43B75"/>
    <w:rsid w:val="00B47232"/>
    <w:rsid w:val="00B54D6D"/>
    <w:rsid w:val="00B55B66"/>
    <w:rsid w:val="00B572D2"/>
    <w:rsid w:val="00B608FF"/>
    <w:rsid w:val="00B66D0E"/>
    <w:rsid w:val="00B66D95"/>
    <w:rsid w:val="00B70C33"/>
    <w:rsid w:val="00B73198"/>
    <w:rsid w:val="00B826C0"/>
    <w:rsid w:val="00B9269C"/>
    <w:rsid w:val="00BA5EC0"/>
    <w:rsid w:val="00BB7A82"/>
    <w:rsid w:val="00BC07CD"/>
    <w:rsid w:val="00BC3160"/>
    <w:rsid w:val="00BC45FB"/>
    <w:rsid w:val="00BE309D"/>
    <w:rsid w:val="00BE3B7D"/>
    <w:rsid w:val="00C002D9"/>
    <w:rsid w:val="00C23F18"/>
    <w:rsid w:val="00C25E33"/>
    <w:rsid w:val="00C263D3"/>
    <w:rsid w:val="00C325E0"/>
    <w:rsid w:val="00C33382"/>
    <w:rsid w:val="00C340F5"/>
    <w:rsid w:val="00C65441"/>
    <w:rsid w:val="00C655E7"/>
    <w:rsid w:val="00C66F9D"/>
    <w:rsid w:val="00C72BD1"/>
    <w:rsid w:val="00C72D5C"/>
    <w:rsid w:val="00C759F5"/>
    <w:rsid w:val="00C76652"/>
    <w:rsid w:val="00C914EC"/>
    <w:rsid w:val="00C97D5B"/>
    <w:rsid w:val="00CB226F"/>
    <w:rsid w:val="00CB7B0E"/>
    <w:rsid w:val="00CD6431"/>
    <w:rsid w:val="00CE187A"/>
    <w:rsid w:val="00CE25FE"/>
    <w:rsid w:val="00CE57D3"/>
    <w:rsid w:val="00CF400C"/>
    <w:rsid w:val="00D00FAB"/>
    <w:rsid w:val="00D07BA6"/>
    <w:rsid w:val="00D12FC5"/>
    <w:rsid w:val="00D16EC9"/>
    <w:rsid w:val="00D21C35"/>
    <w:rsid w:val="00D3002A"/>
    <w:rsid w:val="00D40851"/>
    <w:rsid w:val="00D54181"/>
    <w:rsid w:val="00D615BB"/>
    <w:rsid w:val="00D663D4"/>
    <w:rsid w:val="00D67471"/>
    <w:rsid w:val="00D71FE4"/>
    <w:rsid w:val="00D9072B"/>
    <w:rsid w:val="00D9474B"/>
    <w:rsid w:val="00D97882"/>
    <w:rsid w:val="00DA55CC"/>
    <w:rsid w:val="00DA6C77"/>
    <w:rsid w:val="00DA708D"/>
    <w:rsid w:val="00DB4C9C"/>
    <w:rsid w:val="00DB67A8"/>
    <w:rsid w:val="00DB6E27"/>
    <w:rsid w:val="00DC2CDB"/>
    <w:rsid w:val="00DC7BA0"/>
    <w:rsid w:val="00DD0766"/>
    <w:rsid w:val="00DD31E0"/>
    <w:rsid w:val="00DD3314"/>
    <w:rsid w:val="00DD6D51"/>
    <w:rsid w:val="00DE076E"/>
    <w:rsid w:val="00DE3C66"/>
    <w:rsid w:val="00DF2F6E"/>
    <w:rsid w:val="00E00942"/>
    <w:rsid w:val="00E04298"/>
    <w:rsid w:val="00E1359C"/>
    <w:rsid w:val="00E13A18"/>
    <w:rsid w:val="00E13C81"/>
    <w:rsid w:val="00E30026"/>
    <w:rsid w:val="00E4068B"/>
    <w:rsid w:val="00E41E7F"/>
    <w:rsid w:val="00E509B5"/>
    <w:rsid w:val="00E52E47"/>
    <w:rsid w:val="00E530B6"/>
    <w:rsid w:val="00E55855"/>
    <w:rsid w:val="00E57399"/>
    <w:rsid w:val="00E6413F"/>
    <w:rsid w:val="00E67ABD"/>
    <w:rsid w:val="00E745DC"/>
    <w:rsid w:val="00E76FA1"/>
    <w:rsid w:val="00E869B8"/>
    <w:rsid w:val="00E95E67"/>
    <w:rsid w:val="00EA235E"/>
    <w:rsid w:val="00EA590F"/>
    <w:rsid w:val="00EB113D"/>
    <w:rsid w:val="00EB3ED1"/>
    <w:rsid w:val="00EB4267"/>
    <w:rsid w:val="00EB564C"/>
    <w:rsid w:val="00EB7F6E"/>
    <w:rsid w:val="00EC1634"/>
    <w:rsid w:val="00EC714C"/>
    <w:rsid w:val="00ED7814"/>
    <w:rsid w:val="00EE45E0"/>
    <w:rsid w:val="00EF172C"/>
    <w:rsid w:val="00EF3B3F"/>
    <w:rsid w:val="00F00DF7"/>
    <w:rsid w:val="00F04409"/>
    <w:rsid w:val="00F144CE"/>
    <w:rsid w:val="00F14898"/>
    <w:rsid w:val="00F16B10"/>
    <w:rsid w:val="00F201EB"/>
    <w:rsid w:val="00F2766F"/>
    <w:rsid w:val="00F52D99"/>
    <w:rsid w:val="00F62264"/>
    <w:rsid w:val="00F715D8"/>
    <w:rsid w:val="00F85022"/>
    <w:rsid w:val="00F95BCE"/>
    <w:rsid w:val="00F960DC"/>
    <w:rsid w:val="00F9692D"/>
    <w:rsid w:val="00FA2A84"/>
    <w:rsid w:val="00FA6443"/>
    <w:rsid w:val="00FA6E0D"/>
    <w:rsid w:val="00FA7E2B"/>
    <w:rsid w:val="00FC03AB"/>
    <w:rsid w:val="00FD0793"/>
    <w:rsid w:val="00FD4888"/>
    <w:rsid w:val="00FF69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2" w:uiPriority="99"/>
    <w:lsdException w:name="heading 3"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ny">
    <w:name w:val="Normal"/>
    <w:qFormat/>
    <w:rsid w:val="0017146F"/>
    <w:pPr>
      <w:spacing w:line="320" w:lineRule="exact"/>
    </w:pPr>
  </w:style>
  <w:style w:type="paragraph" w:styleId="Nagwek2">
    <w:name w:val="heading 2"/>
    <w:basedOn w:val="Normalny"/>
    <w:next w:val="Normalny"/>
    <w:link w:val="Nagwek2Znak"/>
    <w:uiPriority w:val="99"/>
    <w:rsid w:val="00F52D99"/>
    <w:pPr>
      <w:keepNext/>
      <w:overflowPunct w:val="0"/>
      <w:autoSpaceDE w:val="0"/>
      <w:autoSpaceDN w:val="0"/>
      <w:adjustRightInd w:val="0"/>
      <w:spacing w:before="240" w:after="60" w:line="240" w:lineRule="auto"/>
      <w:jc w:val="both"/>
      <w:textAlignment w:val="baseline"/>
      <w:outlineLvl w:val="1"/>
    </w:pPr>
    <w:rPr>
      <w:rFonts w:ascii="Arial" w:hAnsi="Arial"/>
      <w:b/>
      <w:bCs/>
      <w:i/>
      <w:iCs/>
      <w:sz w:val="28"/>
      <w:szCs w:val="28"/>
    </w:rPr>
  </w:style>
  <w:style w:type="paragraph" w:styleId="Nagwek4">
    <w:name w:val="heading 4"/>
    <w:basedOn w:val="Normalny"/>
    <w:next w:val="Normalny"/>
    <w:link w:val="Nagwek4Znak"/>
    <w:rsid w:val="002346FE"/>
    <w:pPr>
      <w:keepNext/>
      <w:tabs>
        <w:tab w:val="left" w:pos="3544"/>
      </w:tabs>
      <w:spacing w:line="240" w:lineRule="auto"/>
      <w:outlineLvl w:val="3"/>
    </w:pPr>
    <w:rPr>
      <w:rFonts w:ascii="Arial" w:hAnsi="Arial"/>
      <w:b/>
      <w:caps/>
      <w:sz w:val="22"/>
    </w:rPr>
  </w:style>
  <w:style w:type="paragraph" w:styleId="Nagwek7">
    <w:name w:val="heading 7"/>
    <w:basedOn w:val="Normalny"/>
    <w:next w:val="Normalny"/>
    <w:rsid w:val="002346FE"/>
    <w:pPr>
      <w:keepNext/>
      <w:spacing w:line="300" w:lineRule="atLeast"/>
      <w:jc w:val="both"/>
      <w:outlineLvl w:val="6"/>
    </w:pPr>
    <w:rPr>
      <w:i/>
      <w:cap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rsid w:val="002346FE"/>
    <w:pPr>
      <w:jc w:val="center"/>
    </w:pPr>
    <w:rPr>
      <w:b/>
    </w:rPr>
  </w:style>
  <w:style w:type="paragraph" w:customStyle="1" w:styleId="a">
    <w:link w:val="Znak"/>
    <w:semiHidden/>
    <w:rsid w:val="002346FE"/>
    <w:pPr>
      <w:tabs>
        <w:tab w:val="left" w:pos="624"/>
      </w:tabs>
      <w:spacing w:before="40" w:after="40" w:line="200" w:lineRule="exact"/>
      <w:ind w:firstLine="340"/>
      <w:jc w:val="both"/>
    </w:pPr>
    <w:rPr>
      <w:sz w:val="18"/>
    </w:rPr>
  </w:style>
  <w:style w:type="paragraph" w:styleId="Stopka">
    <w:name w:val="footer"/>
    <w:basedOn w:val="Normalny"/>
    <w:link w:val="StopkaZnak"/>
    <w:uiPriority w:val="99"/>
    <w:rsid w:val="002346FE"/>
    <w:pPr>
      <w:tabs>
        <w:tab w:val="center" w:pos="4536"/>
        <w:tab w:val="right" w:pos="9072"/>
      </w:tabs>
    </w:pPr>
  </w:style>
  <w:style w:type="character" w:styleId="Numerstrony">
    <w:name w:val="page number"/>
    <w:basedOn w:val="Domylnaczcionkaakapitu"/>
    <w:rsid w:val="002346FE"/>
  </w:style>
  <w:style w:type="paragraph" w:customStyle="1" w:styleId="punktowanie">
    <w:name w:val="punktowanie"/>
    <w:basedOn w:val="Normalny"/>
    <w:rsid w:val="002346FE"/>
    <w:pPr>
      <w:numPr>
        <w:numId w:val="1"/>
      </w:numPr>
      <w:spacing w:line="300" w:lineRule="atLeast"/>
      <w:ind w:left="738"/>
      <w:jc w:val="both"/>
    </w:pPr>
    <w:rPr>
      <w:sz w:val="22"/>
    </w:rPr>
  </w:style>
  <w:style w:type="character" w:customStyle="1" w:styleId="Nagwek2Znak">
    <w:name w:val="Nagłówek 2 Znak"/>
    <w:link w:val="Nagwek2"/>
    <w:uiPriority w:val="99"/>
    <w:locked/>
    <w:rsid w:val="00E30026"/>
    <w:rPr>
      <w:rFonts w:ascii="Arial" w:hAnsi="Arial" w:cs="Arial"/>
      <w:b/>
      <w:bCs/>
      <w:i/>
      <w:iCs/>
      <w:sz w:val="28"/>
      <w:szCs w:val="28"/>
    </w:rPr>
  </w:style>
  <w:style w:type="paragraph" w:customStyle="1" w:styleId="rdo">
    <w:name w:val="źródło"/>
    <w:basedOn w:val="Normalny"/>
    <w:rsid w:val="002346FE"/>
    <w:pPr>
      <w:tabs>
        <w:tab w:val="left" w:pos="709"/>
      </w:tabs>
      <w:spacing w:before="100" w:line="300" w:lineRule="atLeast"/>
      <w:jc w:val="both"/>
    </w:pPr>
  </w:style>
  <w:style w:type="character" w:styleId="Odwoanieprzypisudolnego">
    <w:name w:val="footnote reference"/>
    <w:aliases w:val="Odwołanie przypisu,Footnote symbol,Footnote Reference Number,Odsy³acz przypisu dolnego 1,Odsy3acz przypisu dolnego 1"/>
    <w:uiPriority w:val="99"/>
    <w:rsid w:val="002346FE"/>
    <w:rPr>
      <w:vertAlign w:val="superscript"/>
    </w:rPr>
  </w:style>
  <w:style w:type="character" w:styleId="Odwoaniedokomentarza">
    <w:name w:val="annotation reference"/>
    <w:semiHidden/>
    <w:rsid w:val="00B03C1E"/>
    <w:rPr>
      <w:sz w:val="16"/>
      <w:szCs w:val="16"/>
    </w:rPr>
  </w:style>
  <w:style w:type="paragraph" w:styleId="Tekstkomentarza">
    <w:name w:val="annotation text"/>
    <w:basedOn w:val="Normalny"/>
    <w:semiHidden/>
    <w:rsid w:val="00B03C1E"/>
  </w:style>
  <w:style w:type="paragraph" w:styleId="Tematkomentarza">
    <w:name w:val="annotation subject"/>
    <w:basedOn w:val="Tekstkomentarza"/>
    <w:next w:val="Tekstkomentarza"/>
    <w:semiHidden/>
    <w:rsid w:val="00B03C1E"/>
    <w:rPr>
      <w:b/>
      <w:bCs/>
    </w:rPr>
  </w:style>
  <w:style w:type="paragraph" w:styleId="Tekstdymka">
    <w:name w:val="Balloon Text"/>
    <w:basedOn w:val="Normalny"/>
    <w:semiHidden/>
    <w:rsid w:val="00B03C1E"/>
    <w:rPr>
      <w:rFonts w:ascii="Tahoma" w:hAnsi="Tahoma" w:cs="Tahoma"/>
      <w:sz w:val="16"/>
      <w:szCs w:val="16"/>
    </w:rPr>
  </w:style>
  <w:style w:type="paragraph" w:styleId="Tekstprzypisudolnego">
    <w:name w:val="footnote text"/>
    <w:aliases w:val="Tekst przypisu,Podrozdział Znak Znak,Podrozdział Znak,single space,FOOTNOTES,fn,Fußnote,Podrozdzia3,przypis"/>
    <w:basedOn w:val="Normalny"/>
    <w:link w:val="TekstprzypisudolnegoZnak"/>
    <w:uiPriority w:val="99"/>
    <w:rsid w:val="00B03C1E"/>
  </w:style>
  <w:style w:type="paragraph" w:styleId="Nagwek">
    <w:name w:val="header"/>
    <w:basedOn w:val="Normalny"/>
    <w:link w:val="NagwekZnak"/>
    <w:uiPriority w:val="99"/>
    <w:rsid w:val="00B03C1E"/>
    <w:pPr>
      <w:tabs>
        <w:tab w:val="center" w:pos="4536"/>
        <w:tab w:val="right" w:pos="9072"/>
      </w:tabs>
    </w:pPr>
  </w:style>
  <w:style w:type="paragraph" w:customStyle="1" w:styleId="Tekstgwny">
    <w:name w:val="Tekst główny"/>
    <w:basedOn w:val="Normalny"/>
    <w:link w:val="TekstgwnyZnak"/>
    <w:rsid w:val="004D2B4D"/>
    <w:pPr>
      <w:spacing w:line="300" w:lineRule="atLeast"/>
      <w:ind w:firstLine="454"/>
      <w:jc w:val="both"/>
    </w:pPr>
    <w:rPr>
      <w:sz w:val="22"/>
      <w:szCs w:val="22"/>
    </w:rPr>
  </w:style>
  <w:style w:type="paragraph" w:customStyle="1" w:styleId="Wypunktowanie">
    <w:name w:val="Wypunktowanie"/>
    <w:basedOn w:val="Normalny"/>
    <w:link w:val="WypunktowanieZnak"/>
    <w:rsid w:val="004D2B4D"/>
    <w:pPr>
      <w:numPr>
        <w:numId w:val="19"/>
      </w:numPr>
      <w:tabs>
        <w:tab w:val="left" w:pos="714"/>
      </w:tabs>
      <w:spacing w:line="300" w:lineRule="atLeast"/>
      <w:jc w:val="both"/>
    </w:pPr>
    <w:rPr>
      <w:iCs/>
      <w:sz w:val="22"/>
    </w:rPr>
  </w:style>
  <w:style w:type="paragraph" w:customStyle="1" w:styleId="Przypisnadole">
    <w:name w:val="Przypis na dole"/>
    <w:basedOn w:val="Normalny"/>
    <w:rsid w:val="004D2B4D"/>
    <w:pPr>
      <w:spacing w:line="240" w:lineRule="auto"/>
      <w:ind w:left="182" w:hanging="182"/>
      <w:jc w:val="both"/>
    </w:pPr>
    <w:rPr>
      <w:sz w:val="18"/>
      <w:szCs w:val="18"/>
    </w:rPr>
  </w:style>
  <w:style w:type="paragraph" w:customStyle="1" w:styleId="Podrozdzia">
    <w:name w:val="Podrozdział"/>
    <w:basedOn w:val="Normalny"/>
    <w:rsid w:val="004D2B4D"/>
    <w:pPr>
      <w:spacing w:after="80" w:line="300" w:lineRule="atLeast"/>
      <w:jc w:val="both"/>
    </w:pPr>
    <w:rPr>
      <w:b/>
      <w:sz w:val="22"/>
      <w:szCs w:val="22"/>
    </w:rPr>
  </w:style>
  <w:style w:type="paragraph" w:customStyle="1" w:styleId="rdopodtabel">
    <w:name w:val="Źródło pod tabelą"/>
    <w:basedOn w:val="Normalny"/>
    <w:link w:val="rdopodtabelZnak"/>
    <w:rsid w:val="004D2B4D"/>
    <w:pPr>
      <w:spacing w:before="100" w:line="240" w:lineRule="auto"/>
      <w:ind w:firstLine="454"/>
      <w:jc w:val="both"/>
    </w:pPr>
    <w:rPr>
      <w:sz w:val="18"/>
    </w:rPr>
  </w:style>
  <w:style w:type="paragraph" w:customStyle="1" w:styleId="Rysunekischemat9p">
    <w:name w:val="Rysunek i schemat 9p"/>
    <w:basedOn w:val="Normalny"/>
    <w:link w:val="Rysunekischemat9pZnak"/>
    <w:autoRedefine/>
    <w:rsid w:val="00785C5C"/>
    <w:pPr>
      <w:spacing w:after="120" w:line="240" w:lineRule="auto"/>
      <w:jc w:val="center"/>
    </w:pPr>
    <w:rPr>
      <w:sz w:val="18"/>
    </w:rPr>
  </w:style>
  <w:style w:type="paragraph" w:customStyle="1" w:styleId="Tekstglownyponumerowaniu">
    <w:name w:val="Tekst glowny po numerowaniu"/>
    <w:basedOn w:val="Tekstgwny"/>
    <w:rsid w:val="004D2B4D"/>
    <w:pPr>
      <w:ind w:firstLine="0"/>
    </w:pPr>
  </w:style>
  <w:style w:type="paragraph" w:customStyle="1" w:styleId="Literatura">
    <w:name w:val="Literatura"/>
    <w:basedOn w:val="Normalny"/>
    <w:rsid w:val="004D2B4D"/>
    <w:pPr>
      <w:tabs>
        <w:tab w:val="num" w:pos="360"/>
      </w:tabs>
      <w:spacing w:line="240" w:lineRule="exact"/>
      <w:ind w:left="720" w:hanging="720"/>
      <w:jc w:val="both"/>
    </w:pPr>
  </w:style>
  <w:style w:type="paragraph" w:customStyle="1" w:styleId="Streszczenie">
    <w:name w:val="Streszczenie"/>
    <w:basedOn w:val="Nagwek2"/>
    <w:rsid w:val="004D2B4D"/>
    <w:pPr>
      <w:keepNext w:val="0"/>
      <w:spacing w:before="120" w:after="120"/>
      <w:jc w:val="center"/>
    </w:pPr>
    <w:rPr>
      <w:rFonts w:ascii="Times New Roman" w:hAnsi="Times New Roman"/>
      <w:i w:val="0"/>
      <w:caps/>
      <w:sz w:val="20"/>
      <w:szCs w:val="20"/>
      <w:lang w:val="de-DE"/>
    </w:rPr>
  </w:style>
  <w:style w:type="paragraph" w:customStyle="1" w:styleId="Streszczenie-tekst">
    <w:name w:val="Streszczenie - tekst"/>
    <w:basedOn w:val="Normalny"/>
    <w:rsid w:val="004D2B4D"/>
    <w:pPr>
      <w:ind w:firstLine="454"/>
      <w:jc w:val="both"/>
    </w:pPr>
    <w:rPr>
      <w:rFonts w:eastAsia="MS Mincho"/>
      <w:lang w:eastAsia="ja-JP"/>
    </w:rPr>
  </w:style>
  <w:style w:type="paragraph" w:customStyle="1" w:styleId="Autoridaneautora">
    <w:name w:val="Autor i dane autora"/>
    <w:basedOn w:val="Normalny"/>
    <w:rsid w:val="004D2B4D"/>
    <w:pPr>
      <w:spacing w:line="240" w:lineRule="auto"/>
      <w:ind w:firstLine="454"/>
      <w:jc w:val="right"/>
    </w:pPr>
    <w:rPr>
      <w:rFonts w:eastAsia="MS Mincho"/>
      <w:i/>
      <w:iCs/>
      <w:lang w:eastAsia="ja-JP"/>
    </w:rPr>
  </w:style>
  <w:style w:type="paragraph" w:customStyle="1" w:styleId="Numerowanieznawiasem">
    <w:name w:val="Numerowanie z nawiasem"/>
    <w:basedOn w:val="Normalny"/>
    <w:link w:val="NumerowanieznawiasemZnak"/>
    <w:rsid w:val="004D2B4D"/>
    <w:pPr>
      <w:tabs>
        <w:tab w:val="left" w:pos="812"/>
      </w:tabs>
      <w:spacing w:line="300" w:lineRule="atLeast"/>
      <w:ind w:left="811" w:hanging="357"/>
      <w:jc w:val="both"/>
    </w:pPr>
    <w:rPr>
      <w:iCs/>
      <w:sz w:val="22"/>
      <w:szCs w:val="22"/>
    </w:rPr>
  </w:style>
  <w:style w:type="paragraph" w:customStyle="1" w:styleId="Tekstwtabeliwypunktowany8p">
    <w:name w:val="Tekst w tabeli wypunktowany 8p"/>
    <w:basedOn w:val="Tekstwtabeli8p"/>
    <w:rsid w:val="006B0F39"/>
    <w:pPr>
      <w:numPr>
        <w:numId w:val="23"/>
      </w:numPr>
      <w:tabs>
        <w:tab w:val="num" w:pos="252"/>
      </w:tabs>
      <w:ind w:left="252" w:hanging="252"/>
    </w:pPr>
  </w:style>
  <w:style w:type="paragraph" w:customStyle="1" w:styleId="Nagwektabeli">
    <w:name w:val="Nagłówek tabeli"/>
    <w:basedOn w:val="Normalny"/>
    <w:rsid w:val="004D2B4D"/>
    <w:pPr>
      <w:overflowPunct w:val="0"/>
      <w:autoSpaceDE w:val="0"/>
      <w:autoSpaceDN w:val="0"/>
      <w:adjustRightInd w:val="0"/>
      <w:spacing w:line="240" w:lineRule="auto"/>
      <w:jc w:val="center"/>
      <w:textAlignment w:val="baseline"/>
    </w:pPr>
    <w:rPr>
      <w:b/>
      <w:bCs/>
    </w:rPr>
  </w:style>
  <w:style w:type="paragraph" w:customStyle="1" w:styleId="Tekstwtabeli8p">
    <w:name w:val="Tekst w tabeli 8p"/>
    <w:basedOn w:val="Normalny"/>
    <w:rsid w:val="00771B8C"/>
    <w:pPr>
      <w:overflowPunct w:val="0"/>
      <w:autoSpaceDE w:val="0"/>
      <w:autoSpaceDN w:val="0"/>
      <w:adjustRightInd w:val="0"/>
      <w:spacing w:line="240" w:lineRule="auto"/>
      <w:textAlignment w:val="baseline"/>
    </w:pPr>
    <w:rPr>
      <w:sz w:val="16"/>
    </w:rPr>
  </w:style>
  <w:style w:type="paragraph" w:customStyle="1" w:styleId="Nagowek">
    <w:name w:val="Nagłowek"/>
    <w:basedOn w:val="Normalny"/>
    <w:link w:val="NagowekZnak"/>
    <w:rsid w:val="004D2B4D"/>
    <w:pPr>
      <w:pBdr>
        <w:bottom w:val="single" w:sz="6" w:space="5" w:color="auto"/>
      </w:pBdr>
      <w:tabs>
        <w:tab w:val="center" w:pos="3542"/>
      </w:tabs>
      <w:spacing w:before="60" w:after="20" w:line="240" w:lineRule="auto"/>
      <w:ind w:right="6"/>
      <w:jc w:val="center"/>
    </w:pPr>
  </w:style>
  <w:style w:type="table" w:styleId="Tabela-Klasyczny1">
    <w:name w:val="Table Classic 1"/>
    <w:basedOn w:val="Standardowy"/>
    <w:rsid w:val="004F7CA0"/>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C72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tuZnak">
    <w:name w:val="Tytuł Znak"/>
    <w:link w:val="Tytu"/>
    <w:rsid w:val="003144B8"/>
    <w:rPr>
      <w:b/>
    </w:rPr>
  </w:style>
  <w:style w:type="character" w:styleId="Hipercze">
    <w:name w:val="Hyperlink"/>
    <w:rsid w:val="002520D2"/>
    <w:rPr>
      <w:color w:val="0000FF"/>
      <w:u w:val="single"/>
    </w:rPr>
  </w:style>
  <w:style w:type="character" w:customStyle="1" w:styleId="NagwekZnak">
    <w:name w:val="Nagłówek Znak"/>
    <w:link w:val="Nagwek"/>
    <w:uiPriority w:val="99"/>
    <w:rsid w:val="00CE25FE"/>
  </w:style>
  <w:style w:type="character" w:customStyle="1" w:styleId="A0">
    <w:name w:val="A0"/>
    <w:uiPriority w:val="99"/>
    <w:rsid w:val="006C137E"/>
    <w:rPr>
      <w:rFonts w:cs="Palatino Linotype"/>
      <w:color w:val="000000"/>
      <w:sz w:val="20"/>
      <w:szCs w:val="20"/>
    </w:rPr>
  </w:style>
  <w:style w:type="paragraph" w:customStyle="1" w:styleId="FutureTytuart">
    <w:name w:val="Future_Tytuł art"/>
    <w:basedOn w:val="Normalny"/>
    <w:link w:val="FutureTytuartZnak"/>
    <w:qFormat/>
    <w:rsid w:val="00267DC4"/>
    <w:pPr>
      <w:spacing w:before="720" w:after="360" w:line="240" w:lineRule="auto"/>
      <w:jc w:val="center"/>
    </w:pPr>
    <w:rPr>
      <w:b/>
      <w:bCs/>
      <w:caps/>
      <w:sz w:val="28"/>
      <w:szCs w:val="32"/>
    </w:rPr>
  </w:style>
  <w:style w:type="paragraph" w:customStyle="1" w:styleId="FutureAutor">
    <w:name w:val="Future_Autor"/>
    <w:basedOn w:val="Normalny"/>
    <w:link w:val="FutureAutorZnak"/>
    <w:qFormat/>
    <w:rsid w:val="008724A4"/>
    <w:pPr>
      <w:keepNext/>
      <w:spacing w:before="120" w:after="960" w:line="240" w:lineRule="auto"/>
      <w:jc w:val="center"/>
    </w:pPr>
    <w:rPr>
      <w:b/>
      <w:iCs/>
      <w:sz w:val="22"/>
    </w:rPr>
  </w:style>
  <w:style w:type="character" w:customStyle="1" w:styleId="FutureTytuartZnak">
    <w:name w:val="Future_Tytuł art Znak"/>
    <w:link w:val="FutureTytuart"/>
    <w:rsid w:val="00267DC4"/>
    <w:rPr>
      <w:b/>
      <w:bCs/>
      <w:caps/>
      <w:sz w:val="28"/>
      <w:szCs w:val="32"/>
    </w:rPr>
  </w:style>
  <w:style w:type="paragraph" w:customStyle="1" w:styleId="FutureStreszczeniepol">
    <w:name w:val="Future_Streszczenie_pol"/>
    <w:basedOn w:val="Normalny"/>
    <w:link w:val="FutureStreszczeniepolZnak"/>
    <w:qFormat/>
    <w:rsid w:val="00830A54"/>
    <w:pPr>
      <w:spacing w:after="240" w:line="240" w:lineRule="auto"/>
      <w:ind w:firstLine="397"/>
      <w:jc w:val="both"/>
    </w:pPr>
    <w:rPr>
      <w:sz w:val="18"/>
      <w:szCs w:val="16"/>
    </w:rPr>
  </w:style>
  <w:style w:type="character" w:customStyle="1" w:styleId="FutureAutorZnak">
    <w:name w:val="Future_Autor Znak"/>
    <w:link w:val="FutureAutor"/>
    <w:rsid w:val="008724A4"/>
    <w:rPr>
      <w:b/>
      <w:iCs/>
      <w:sz w:val="22"/>
    </w:rPr>
  </w:style>
  <w:style w:type="paragraph" w:customStyle="1" w:styleId="FutureTyturozdziau">
    <w:name w:val="Future_Tytuł rozdziału"/>
    <w:basedOn w:val="Normalny"/>
    <w:link w:val="FutureTyturozdziauZnak"/>
    <w:qFormat/>
    <w:rsid w:val="00771FCD"/>
    <w:pPr>
      <w:suppressAutoHyphens/>
      <w:spacing w:before="360" w:after="360" w:line="240" w:lineRule="auto"/>
      <w:ind w:left="227" w:hanging="227"/>
      <w:jc w:val="center"/>
    </w:pPr>
    <w:rPr>
      <w:b/>
      <w:bCs/>
      <w:caps/>
      <w:sz w:val="18"/>
      <w:szCs w:val="22"/>
    </w:rPr>
  </w:style>
  <w:style w:type="character" w:customStyle="1" w:styleId="FutureStreszczeniepolZnak">
    <w:name w:val="Future_Streszczenie_pol Znak"/>
    <w:link w:val="FutureStreszczeniepol"/>
    <w:rsid w:val="00830A54"/>
    <w:rPr>
      <w:sz w:val="18"/>
      <w:szCs w:val="16"/>
    </w:rPr>
  </w:style>
  <w:style w:type="paragraph" w:customStyle="1" w:styleId="Tekstpodstawowy10pzakapitem">
    <w:name w:val="Tekst podstawowy 10p z akapitem"/>
    <w:basedOn w:val="Normalny"/>
    <w:link w:val="Tekstpodstawowy10pzakapitemZnak"/>
    <w:rsid w:val="00422058"/>
    <w:pPr>
      <w:spacing w:line="240" w:lineRule="auto"/>
      <w:ind w:firstLine="284"/>
      <w:jc w:val="both"/>
    </w:pPr>
  </w:style>
  <w:style w:type="character" w:customStyle="1" w:styleId="FutureTyturozdziauZnak">
    <w:name w:val="Future_Tytuł rozdziału Znak"/>
    <w:link w:val="FutureTyturozdziau"/>
    <w:rsid w:val="00771FCD"/>
    <w:rPr>
      <w:b/>
      <w:bCs/>
      <w:caps/>
      <w:sz w:val="18"/>
      <w:szCs w:val="22"/>
    </w:rPr>
  </w:style>
  <w:style w:type="paragraph" w:customStyle="1" w:styleId="Futurewypunktowanie">
    <w:name w:val="Future_wypunktowanie"/>
    <w:basedOn w:val="Wypunktowanie"/>
    <w:link w:val="FuturewypunktowanieZnak"/>
    <w:rsid w:val="00422058"/>
    <w:pPr>
      <w:tabs>
        <w:tab w:val="clear" w:pos="714"/>
        <w:tab w:val="left" w:pos="567"/>
      </w:tabs>
      <w:spacing w:line="240" w:lineRule="auto"/>
      <w:ind w:left="568" w:hanging="284"/>
    </w:pPr>
    <w:rPr>
      <w:sz w:val="20"/>
    </w:rPr>
  </w:style>
  <w:style w:type="character" w:customStyle="1" w:styleId="Tekstpodstawowy10pzakapitemZnak">
    <w:name w:val="Tekst podstawowy 10p z akapitem Znak"/>
    <w:basedOn w:val="Domylnaczcionkaakapitu"/>
    <w:link w:val="Tekstpodstawowy10pzakapitem"/>
    <w:rsid w:val="00422058"/>
  </w:style>
  <w:style w:type="paragraph" w:customStyle="1" w:styleId="rdo8p">
    <w:name w:val="Źródło 8p"/>
    <w:basedOn w:val="rdopodtabel"/>
    <w:link w:val="rdo8pZnak"/>
    <w:rsid w:val="00147638"/>
    <w:pPr>
      <w:ind w:left="284" w:firstLine="0"/>
    </w:pPr>
    <w:rPr>
      <w:sz w:val="16"/>
      <w:szCs w:val="16"/>
    </w:rPr>
  </w:style>
  <w:style w:type="character" w:customStyle="1" w:styleId="WypunktowanieZnak">
    <w:name w:val="Wypunktowanie Znak"/>
    <w:link w:val="Wypunktowanie"/>
    <w:rsid w:val="00422058"/>
    <w:rPr>
      <w:iCs/>
      <w:sz w:val="22"/>
    </w:rPr>
  </w:style>
  <w:style w:type="character" w:customStyle="1" w:styleId="FuturewypunktowanieZnak">
    <w:name w:val="Future_wypunktowanie Znak"/>
    <w:basedOn w:val="WypunktowanieZnak"/>
    <w:link w:val="Futurewypunktowanie"/>
    <w:rsid w:val="00422058"/>
  </w:style>
  <w:style w:type="paragraph" w:customStyle="1" w:styleId="Wypunktowanieliczbaznawiasem10p">
    <w:name w:val="Wypunktowanie liczba z nawiasem 10p"/>
    <w:link w:val="Wypunktowanieliczbaznawiasem10pZnak"/>
    <w:rsid w:val="00222A24"/>
    <w:pPr>
      <w:numPr>
        <w:numId w:val="18"/>
      </w:numPr>
      <w:tabs>
        <w:tab w:val="left" w:pos="567"/>
      </w:tabs>
      <w:ind w:left="568" w:hanging="284"/>
      <w:jc w:val="both"/>
    </w:pPr>
    <w:rPr>
      <w:iCs/>
    </w:rPr>
  </w:style>
  <w:style w:type="character" w:customStyle="1" w:styleId="rdopodtabelZnak">
    <w:name w:val="Źródło pod tabelą Znak"/>
    <w:link w:val="rdopodtabel"/>
    <w:rsid w:val="00422058"/>
    <w:rPr>
      <w:sz w:val="18"/>
    </w:rPr>
  </w:style>
  <w:style w:type="character" w:customStyle="1" w:styleId="rdo8pZnak">
    <w:name w:val="Źródło 8p Znak"/>
    <w:link w:val="rdo8p"/>
    <w:rsid w:val="00147638"/>
    <w:rPr>
      <w:sz w:val="16"/>
      <w:szCs w:val="16"/>
    </w:rPr>
  </w:style>
  <w:style w:type="paragraph" w:customStyle="1" w:styleId="Wypunktowanieliczbazkropk10p">
    <w:name w:val="Wypunktowanie liczba z kropką 10p"/>
    <w:basedOn w:val="Normalny"/>
    <w:link w:val="Wypunktowanieliczbazkropk10pZnak"/>
    <w:rsid w:val="00422058"/>
    <w:pPr>
      <w:numPr>
        <w:numId w:val="12"/>
      </w:numPr>
      <w:tabs>
        <w:tab w:val="clear" w:pos="1894"/>
        <w:tab w:val="num" w:pos="567"/>
      </w:tabs>
      <w:spacing w:line="240" w:lineRule="auto"/>
      <w:ind w:left="568" w:hanging="284"/>
      <w:jc w:val="both"/>
    </w:pPr>
  </w:style>
  <w:style w:type="character" w:customStyle="1" w:styleId="NumerowanieznawiasemZnak">
    <w:name w:val="Numerowanie z nawiasem Znak"/>
    <w:link w:val="Numerowanieznawiasem"/>
    <w:rsid w:val="00422058"/>
    <w:rPr>
      <w:iCs/>
      <w:sz w:val="22"/>
      <w:szCs w:val="22"/>
    </w:rPr>
  </w:style>
  <w:style w:type="character" w:customStyle="1" w:styleId="Wypunktowanieliczbaznawiasem10pZnak">
    <w:name w:val="Wypunktowanie liczba z nawiasem 10p Znak"/>
    <w:basedOn w:val="NumerowanieznawiasemZnak"/>
    <w:link w:val="Wypunktowanieliczbaznawiasem10p"/>
    <w:rsid w:val="00222A24"/>
    <w:rPr>
      <w:iCs/>
      <w:lang w:val="pl-PL" w:eastAsia="pl-PL" w:bidi="ar-SA"/>
    </w:rPr>
  </w:style>
  <w:style w:type="paragraph" w:customStyle="1" w:styleId="Tabela8p">
    <w:name w:val="Tabela 8p"/>
    <w:basedOn w:val="Tekstwtabeli8p"/>
    <w:rsid w:val="00422058"/>
    <w:rPr>
      <w:szCs w:val="16"/>
    </w:rPr>
  </w:style>
  <w:style w:type="character" w:customStyle="1" w:styleId="Wypunktowanieliczbazkropk10pZnak">
    <w:name w:val="Wypunktowanie liczba z kropką 10p Znak"/>
    <w:basedOn w:val="Domylnaczcionkaakapitu"/>
    <w:link w:val="Wypunktowanieliczbazkropk10p"/>
    <w:rsid w:val="00422058"/>
  </w:style>
  <w:style w:type="paragraph" w:customStyle="1" w:styleId="Literatura8p">
    <w:name w:val="Literatura 8p"/>
    <w:basedOn w:val="Normalny"/>
    <w:link w:val="Literatura8pZnak"/>
    <w:rsid w:val="00422058"/>
    <w:pPr>
      <w:spacing w:line="240" w:lineRule="auto"/>
      <w:ind w:left="284" w:hanging="284"/>
      <w:jc w:val="both"/>
    </w:pPr>
    <w:rPr>
      <w:sz w:val="16"/>
      <w:szCs w:val="16"/>
    </w:rPr>
  </w:style>
  <w:style w:type="paragraph" w:customStyle="1" w:styleId="StrzeszczenieTytuAng8p">
    <w:name w:val="Strzeszczenie Tytuł Ang 8p"/>
    <w:basedOn w:val="Normalny"/>
    <w:link w:val="StrzeszczenieTytuAng8pZnak"/>
    <w:rsid w:val="00D40851"/>
    <w:pPr>
      <w:spacing w:after="80" w:line="240" w:lineRule="auto"/>
      <w:ind w:left="567"/>
    </w:pPr>
    <w:rPr>
      <w:b/>
      <w:caps/>
      <w:sz w:val="16"/>
      <w:szCs w:val="16"/>
      <w:lang w:val="en-US"/>
    </w:rPr>
  </w:style>
  <w:style w:type="character" w:customStyle="1" w:styleId="Literatura8pZnak">
    <w:name w:val="Literatura 8p Znak"/>
    <w:link w:val="Literatura8p"/>
    <w:rsid w:val="00422058"/>
    <w:rPr>
      <w:sz w:val="16"/>
      <w:szCs w:val="16"/>
    </w:rPr>
  </w:style>
  <w:style w:type="paragraph" w:customStyle="1" w:styleId="Nagwek-Tytuartykuu8pitalic">
    <w:name w:val="Nagłówek - Tytuł artykułu 8p italic"/>
    <w:basedOn w:val="Nagowek"/>
    <w:link w:val="Nagwek-Tytuartykuu8pitalicZnak"/>
    <w:rsid w:val="004D0F28"/>
    <w:pPr>
      <w:tabs>
        <w:tab w:val="clear" w:pos="3542"/>
        <w:tab w:val="right" w:pos="6804"/>
      </w:tabs>
      <w:spacing w:before="120" w:after="0"/>
      <w:ind w:left="23" w:right="567"/>
      <w:jc w:val="right"/>
    </w:pPr>
    <w:rPr>
      <w:i/>
      <w:iCs/>
      <w:sz w:val="16"/>
      <w:szCs w:val="16"/>
    </w:rPr>
  </w:style>
  <w:style w:type="character" w:customStyle="1" w:styleId="StrzeszczenieTytuAng8pZnak">
    <w:name w:val="Strzeszczenie Tytuł Ang 8p Znak"/>
    <w:link w:val="StrzeszczenieTytuAng8p"/>
    <w:rsid w:val="00D40851"/>
    <w:rPr>
      <w:b/>
      <w:caps/>
      <w:sz w:val="16"/>
      <w:szCs w:val="16"/>
      <w:lang w:val="en-US"/>
    </w:rPr>
  </w:style>
  <w:style w:type="paragraph" w:customStyle="1" w:styleId="Nagwek-Autor8pitalic">
    <w:name w:val="Nagłówek - Autor 8p italic"/>
    <w:basedOn w:val="a"/>
    <w:link w:val="Nagwek-Autor8pitalicZnak"/>
    <w:rsid w:val="00422058"/>
    <w:pPr>
      <w:pBdr>
        <w:bottom w:val="single" w:sz="6" w:space="5" w:color="auto"/>
      </w:pBdr>
      <w:tabs>
        <w:tab w:val="clear" w:pos="624"/>
      </w:tabs>
      <w:spacing w:before="120" w:after="0" w:line="240" w:lineRule="auto"/>
      <w:ind w:left="567" w:firstLine="0"/>
    </w:pPr>
    <w:rPr>
      <w:i/>
      <w:iCs/>
      <w:smallCaps/>
      <w:sz w:val="16"/>
      <w:szCs w:val="16"/>
    </w:rPr>
  </w:style>
  <w:style w:type="character" w:customStyle="1" w:styleId="NagowekZnak">
    <w:name w:val="Nagłowek Znak"/>
    <w:basedOn w:val="Domylnaczcionkaakapitu"/>
    <w:link w:val="Nagowek"/>
    <w:rsid w:val="00422058"/>
  </w:style>
  <w:style w:type="character" w:customStyle="1" w:styleId="Nagwek-Tytuartykuu8pitalicZnak">
    <w:name w:val="Nagłówek - Tytuł artykułu 8p italic Znak"/>
    <w:link w:val="Nagwek-Tytuartykuu8pitalic"/>
    <w:rsid w:val="004D0F28"/>
    <w:rPr>
      <w:i/>
      <w:iCs/>
      <w:sz w:val="16"/>
      <w:szCs w:val="16"/>
    </w:rPr>
  </w:style>
  <w:style w:type="paragraph" w:customStyle="1" w:styleId="Przypisdolny8p">
    <w:name w:val="Przypis dolny 8p"/>
    <w:basedOn w:val="Przypisnadole"/>
    <w:rsid w:val="002E1A43"/>
    <w:pPr>
      <w:ind w:left="0" w:firstLine="284"/>
    </w:pPr>
    <w:rPr>
      <w:sz w:val="16"/>
      <w:szCs w:val="16"/>
    </w:rPr>
  </w:style>
  <w:style w:type="paragraph" w:customStyle="1" w:styleId="DomylnaczcionkaakapituAkapit">
    <w:name w:val="Domyślna czcionka akapitu Akapit"/>
    <w:basedOn w:val="Normalny"/>
    <w:rsid w:val="00422058"/>
  </w:style>
  <w:style w:type="character" w:customStyle="1" w:styleId="Znak">
    <w:name w:val="Znak"/>
    <w:link w:val="a"/>
    <w:semiHidden/>
    <w:rsid w:val="00422058"/>
    <w:rPr>
      <w:sz w:val="18"/>
    </w:rPr>
  </w:style>
  <w:style w:type="character" w:customStyle="1" w:styleId="Nagwek-Autor8pitalicZnak">
    <w:name w:val="Nagłówek - Autor 8p italic Znak"/>
    <w:link w:val="Nagwek-Autor8pitalic"/>
    <w:rsid w:val="00422058"/>
    <w:rPr>
      <w:i/>
      <w:iCs/>
      <w:smallCaps/>
      <w:sz w:val="16"/>
      <w:szCs w:val="16"/>
    </w:rPr>
  </w:style>
  <w:style w:type="paragraph" w:customStyle="1" w:styleId="Tytutabeli9p">
    <w:name w:val="Tytuł tabeli 9p"/>
    <w:basedOn w:val="Tekstgwny"/>
    <w:link w:val="Tytutabeli9pZnak"/>
    <w:rsid w:val="00C340F5"/>
    <w:pPr>
      <w:spacing w:after="120" w:line="240" w:lineRule="auto"/>
      <w:ind w:left="284" w:firstLine="0"/>
    </w:pPr>
    <w:rPr>
      <w:sz w:val="18"/>
      <w:szCs w:val="18"/>
    </w:rPr>
  </w:style>
  <w:style w:type="paragraph" w:customStyle="1" w:styleId="FutureTekstpodstawowy">
    <w:name w:val="Future_Tekst podstawowy"/>
    <w:basedOn w:val="Normalny"/>
    <w:qFormat/>
    <w:rsid w:val="00771FCD"/>
    <w:pPr>
      <w:spacing w:line="240" w:lineRule="auto"/>
      <w:ind w:firstLine="397"/>
      <w:jc w:val="both"/>
    </w:pPr>
    <w:rPr>
      <w:sz w:val="22"/>
    </w:rPr>
  </w:style>
  <w:style w:type="character" w:customStyle="1" w:styleId="TekstgwnyZnak">
    <w:name w:val="Tekst główny Znak"/>
    <w:link w:val="Tekstgwny"/>
    <w:rsid w:val="002E1A43"/>
    <w:rPr>
      <w:sz w:val="22"/>
      <w:szCs w:val="22"/>
    </w:rPr>
  </w:style>
  <w:style w:type="character" w:customStyle="1" w:styleId="Tytutabeli9pZnak">
    <w:name w:val="Tytuł tabeli 9p Znak"/>
    <w:link w:val="Tytutabeli9p"/>
    <w:rsid w:val="00C340F5"/>
    <w:rPr>
      <w:sz w:val="18"/>
      <w:szCs w:val="18"/>
    </w:rPr>
  </w:style>
  <w:style w:type="paragraph" w:customStyle="1" w:styleId="Autor-Afiliacja8pitalic">
    <w:name w:val="Autor - Afiliacja 8p italic"/>
    <w:basedOn w:val="Normalny"/>
    <w:rsid w:val="00D67471"/>
    <w:pPr>
      <w:spacing w:line="300" w:lineRule="atLeast"/>
      <w:jc w:val="center"/>
    </w:pPr>
    <w:rPr>
      <w:i/>
      <w:sz w:val="16"/>
      <w:szCs w:val="16"/>
    </w:rPr>
  </w:style>
  <w:style w:type="paragraph" w:customStyle="1" w:styleId="FutureAfiliacja">
    <w:name w:val="Future_Afiliacja"/>
    <w:basedOn w:val="Tekstprzypisudolnego"/>
    <w:qFormat/>
    <w:rsid w:val="008724A4"/>
    <w:pPr>
      <w:spacing w:line="240" w:lineRule="auto"/>
      <w:ind w:firstLine="397"/>
      <w:jc w:val="both"/>
    </w:pPr>
    <w:rPr>
      <w:sz w:val="18"/>
      <w:szCs w:val="16"/>
    </w:rPr>
  </w:style>
  <w:style w:type="character" w:customStyle="1" w:styleId="StopkaZnak">
    <w:name w:val="Stopka Znak"/>
    <w:basedOn w:val="Domylnaczcionkaakapitu"/>
    <w:link w:val="Stopka"/>
    <w:uiPriority w:val="99"/>
    <w:rsid w:val="00700C32"/>
  </w:style>
  <w:style w:type="paragraph" w:customStyle="1" w:styleId="FutureSowakluczowe">
    <w:name w:val="Future_Słowa kluczowe"/>
    <w:basedOn w:val="FutureStreszczeniepol"/>
    <w:link w:val="FutureSowakluczoweZnak"/>
    <w:qFormat/>
    <w:rsid w:val="00771FCD"/>
    <w:pPr>
      <w:spacing w:after="600"/>
    </w:pPr>
  </w:style>
  <w:style w:type="paragraph" w:customStyle="1" w:styleId="FutureWypunktowanie0">
    <w:name w:val="Future_Wypunktowanie"/>
    <w:basedOn w:val="Wypunktowanie"/>
    <w:link w:val="FutureWypunktowanieZnak0"/>
    <w:qFormat/>
    <w:rsid w:val="005A1203"/>
  </w:style>
  <w:style w:type="character" w:customStyle="1" w:styleId="FutureSowakluczoweZnak">
    <w:name w:val="Future_Słowa kluczowe Znak"/>
    <w:basedOn w:val="FutureStreszczeniepolZnak"/>
    <w:link w:val="FutureSowakluczowe"/>
    <w:rsid w:val="00771FCD"/>
  </w:style>
  <w:style w:type="paragraph" w:customStyle="1" w:styleId="FuturePrzypisdolny">
    <w:name w:val="Future_Przypis dolny"/>
    <w:basedOn w:val="Tekstprzypisudolnego"/>
    <w:link w:val="FuturePrzypisdolnyZnak"/>
    <w:qFormat/>
    <w:rsid w:val="005A1203"/>
    <w:pPr>
      <w:spacing w:line="240" w:lineRule="auto"/>
      <w:ind w:firstLine="397"/>
      <w:jc w:val="both"/>
    </w:pPr>
    <w:rPr>
      <w:sz w:val="18"/>
      <w:szCs w:val="18"/>
    </w:rPr>
  </w:style>
  <w:style w:type="character" w:customStyle="1" w:styleId="FutureWypunktowanieZnak0">
    <w:name w:val="Future_Wypunktowanie Znak"/>
    <w:basedOn w:val="WypunktowanieZnak"/>
    <w:link w:val="FutureWypunktowanie0"/>
    <w:rsid w:val="005A1203"/>
  </w:style>
  <w:style w:type="paragraph" w:customStyle="1" w:styleId="FutureRysunekTabela">
    <w:name w:val="Future_Rysunek_Tabela"/>
    <w:basedOn w:val="Rysunekischemat9p"/>
    <w:link w:val="FutureRysunekTabelaZnak"/>
    <w:qFormat/>
    <w:rsid w:val="00027DC4"/>
    <w:pPr>
      <w:spacing w:before="120"/>
    </w:pPr>
  </w:style>
  <w:style w:type="character" w:customStyle="1" w:styleId="TekstprzypisudolnegoZnak">
    <w:name w:val="Tekst przypisu dolnego Znak"/>
    <w:aliases w:val="Tekst przypisu Znak,Podrozdział Znak Znak Znak,Podrozdział Znak Znak1,single space Znak,FOOTNOTES Znak,fn Znak,Fußnote Znak,Podrozdzia3 Znak,przypis Znak"/>
    <w:basedOn w:val="Domylnaczcionkaakapitu"/>
    <w:link w:val="Tekstprzypisudolnego"/>
    <w:uiPriority w:val="99"/>
    <w:rsid w:val="005A1203"/>
  </w:style>
  <w:style w:type="character" w:customStyle="1" w:styleId="FuturePrzypisdolnyZnak">
    <w:name w:val="Future_Przypis dolny Znak"/>
    <w:basedOn w:val="TekstprzypisudolnegoZnak"/>
    <w:link w:val="FuturePrzypisdolny"/>
    <w:rsid w:val="005A1203"/>
    <w:rPr>
      <w:sz w:val="18"/>
      <w:szCs w:val="18"/>
    </w:rPr>
  </w:style>
  <w:style w:type="paragraph" w:customStyle="1" w:styleId="Futurerdo">
    <w:name w:val="Future_Źródło"/>
    <w:basedOn w:val="rdo8p"/>
    <w:link w:val="FuturerdoZnak"/>
    <w:qFormat/>
    <w:rsid w:val="00785C5C"/>
    <w:pPr>
      <w:spacing w:before="120"/>
      <w:ind w:left="0" w:firstLine="397"/>
    </w:pPr>
    <w:rPr>
      <w:sz w:val="18"/>
    </w:rPr>
  </w:style>
  <w:style w:type="character" w:customStyle="1" w:styleId="Rysunekischemat9pZnak">
    <w:name w:val="Rysunek i schemat 9p Znak"/>
    <w:basedOn w:val="Domylnaczcionkaakapitu"/>
    <w:link w:val="Rysunekischemat9p"/>
    <w:rsid w:val="00785C5C"/>
    <w:rPr>
      <w:sz w:val="18"/>
    </w:rPr>
  </w:style>
  <w:style w:type="character" w:customStyle="1" w:styleId="FutureRysunekTabelaZnak">
    <w:name w:val="Future_Rysunek_Tabela Znak"/>
    <w:basedOn w:val="Rysunekischemat9pZnak"/>
    <w:link w:val="FutureRysunekTabela"/>
    <w:rsid w:val="00027DC4"/>
  </w:style>
  <w:style w:type="paragraph" w:customStyle="1" w:styleId="FutureTekstwtabeli">
    <w:name w:val="Future_Tekst w tabeli"/>
    <w:basedOn w:val="Normalny"/>
    <w:link w:val="FutureTekstwtabeliZnak"/>
    <w:qFormat/>
    <w:rsid w:val="00027DC4"/>
    <w:pPr>
      <w:spacing w:line="240" w:lineRule="auto"/>
    </w:pPr>
    <w:rPr>
      <w:sz w:val="18"/>
    </w:rPr>
  </w:style>
  <w:style w:type="character" w:customStyle="1" w:styleId="FuturerdoZnak">
    <w:name w:val="Future_Źródło Znak"/>
    <w:basedOn w:val="rdo8pZnak"/>
    <w:link w:val="Futurerdo"/>
    <w:rsid w:val="00785C5C"/>
    <w:rPr>
      <w:sz w:val="18"/>
    </w:rPr>
  </w:style>
  <w:style w:type="paragraph" w:styleId="Tekstprzypisukocowego">
    <w:name w:val="endnote text"/>
    <w:basedOn w:val="Normalny"/>
    <w:link w:val="TekstprzypisukocowegoZnak"/>
    <w:uiPriority w:val="99"/>
    <w:rsid w:val="000C7A44"/>
    <w:pPr>
      <w:spacing w:line="240" w:lineRule="auto"/>
    </w:pPr>
  </w:style>
  <w:style w:type="character" w:customStyle="1" w:styleId="FutureTekstwtabeliZnak">
    <w:name w:val="Future_Tekst w tabeli Znak"/>
    <w:basedOn w:val="Domylnaczcionkaakapitu"/>
    <w:link w:val="FutureTekstwtabeli"/>
    <w:rsid w:val="00027DC4"/>
    <w:rPr>
      <w:sz w:val="18"/>
    </w:rPr>
  </w:style>
  <w:style w:type="character" w:customStyle="1" w:styleId="TekstprzypisukocowegoZnak">
    <w:name w:val="Tekst przypisu końcowego Znak"/>
    <w:basedOn w:val="Domylnaczcionkaakapitu"/>
    <w:link w:val="Tekstprzypisukocowego"/>
    <w:uiPriority w:val="99"/>
    <w:rsid w:val="000C7A44"/>
  </w:style>
  <w:style w:type="character" w:customStyle="1" w:styleId="Nagwek4Znak">
    <w:name w:val="Nagłówek 4 Znak"/>
    <w:basedOn w:val="Domylnaczcionkaakapitu"/>
    <w:link w:val="Nagwek4"/>
    <w:rsid w:val="000C7A44"/>
    <w:rPr>
      <w:rFonts w:ascii="Arial" w:hAnsi="Arial"/>
      <w:b/>
      <w:caps/>
      <w:sz w:val="22"/>
    </w:rPr>
  </w:style>
  <w:style w:type="character" w:customStyle="1" w:styleId="st">
    <w:name w:val="st"/>
    <w:basedOn w:val="Domylnaczcionkaakapitu"/>
    <w:rsid w:val="000C7A44"/>
  </w:style>
  <w:style w:type="paragraph" w:customStyle="1" w:styleId="FutureBibliografiapublikacje">
    <w:name w:val="Future_Bibliografia_publikacje"/>
    <w:basedOn w:val="Tekstprzypisukocowego"/>
    <w:link w:val="FutureBibliografiapublikacjeZnak"/>
    <w:qFormat/>
    <w:rsid w:val="000C7A44"/>
    <w:pPr>
      <w:ind w:left="397" w:hanging="397"/>
      <w:jc w:val="both"/>
    </w:pPr>
    <w:rPr>
      <w:sz w:val="18"/>
      <w:szCs w:val="18"/>
    </w:rPr>
  </w:style>
  <w:style w:type="paragraph" w:customStyle="1" w:styleId="FutureTitleinEnglish">
    <w:name w:val="Future_Title in English"/>
    <w:basedOn w:val="Tekstpodstawowy10pzakapitem"/>
    <w:link w:val="FutureTitleinEnglishZnak"/>
    <w:qFormat/>
    <w:rsid w:val="000C7A44"/>
    <w:pPr>
      <w:suppressAutoHyphens/>
      <w:spacing w:before="360" w:after="360"/>
      <w:ind w:firstLine="0"/>
      <w:jc w:val="center"/>
    </w:pPr>
    <w:rPr>
      <w:b/>
      <w:caps/>
      <w:sz w:val="18"/>
    </w:rPr>
  </w:style>
  <w:style w:type="character" w:customStyle="1" w:styleId="FutureBibliografiapublikacjeZnak">
    <w:name w:val="Future_Bibliografia_publikacje Znak"/>
    <w:basedOn w:val="TekstprzypisukocowegoZnak"/>
    <w:link w:val="FutureBibliografiapublikacje"/>
    <w:rsid w:val="000C7A44"/>
    <w:rPr>
      <w:sz w:val="18"/>
      <w:szCs w:val="18"/>
    </w:rPr>
  </w:style>
  <w:style w:type="paragraph" w:customStyle="1" w:styleId="FutureAbstract">
    <w:name w:val="Future_Abstract"/>
    <w:basedOn w:val="FutureStreszczeniepol"/>
    <w:link w:val="FutureAbstractZnak"/>
    <w:qFormat/>
    <w:rsid w:val="000C7A44"/>
    <w:pPr>
      <w:suppressAutoHyphens/>
      <w:spacing w:after="0"/>
    </w:pPr>
    <w:rPr>
      <w:szCs w:val="18"/>
      <w:lang w:val="en-US"/>
    </w:rPr>
  </w:style>
  <w:style w:type="character" w:customStyle="1" w:styleId="FutureTitleinEnglishZnak">
    <w:name w:val="Future_Title in English Znak"/>
    <w:basedOn w:val="Tekstpodstawowy10pzakapitemZnak"/>
    <w:link w:val="FutureTitleinEnglish"/>
    <w:rsid w:val="000C7A44"/>
    <w:rPr>
      <w:b/>
      <w:caps/>
      <w:sz w:val="18"/>
    </w:rPr>
  </w:style>
  <w:style w:type="paragraph" w:customStyle="1" w:styleId="FutureKeywords">
    <w:name w:val="Future_Key words"/>
    <w:basedOn w:val="FutureStreszczeniepol"/>
    <w:link w:val="FutureKeywordsZnak"/>
    <w:qFormat/>
    <w:rsid w:val="00A1476D"/>
    <w:pPr>
      <w:suppressAutoHyphens/>
      <w:spacing w:before="120" w:after="0"/>
    </w:pPr>
    <w:rPr>
      <w:lang w:val="en-US"/>
    </w:rPr>
  </w:style>
  <w:style w:type="character" w:customStyle="1" w:styleId="FutureAbstractZnak">
    <w:name w:val="Future_Abstract Znak"/>
    <w:basedOn w:val="FutureStreszczeniepolZnak"/>
    <w:link w:val="FutureAbstract"/>
    <w:rsid w:val="000C7A44"/>
    <w:rPr>
      <w:szCs w:val="18"/>
      <w:lang w:val="en-US"/>
    </w:rPr>
  </w:style>
  <w:style w:type="paragraph" w:styleId="Poprawka">
    <w:name w:val="Revision"/>
    <w:hidden/>
    <w:uiPriority w:val="99"/>
    <w:semiHidden/>
    <w:rsid w:val="00685C99"/>
  </w:style>
  <w:style w:type="character" w:customStyle="1" w:styleId="FutureKeywordsZnak">
    <w:name w:val="Future_Key words Znak"/>
    <w:basedOn w:val="FutureStreszczeniepolZnak"/>
    <w:link w:val="FutureKeywords"/>
    <w:rsid w:val="00A1476D"/>
    <w:rPr>
      <w:lang w:val="en-US"/>
    </w:rPr>
  </w:style>
  <w:style w:type="paragraph" w:styleId="Akapitzlist">
    <w:name w:val="List Paragraph"/>
    <w:basedOn w:val="Normalny"/>
    <w:uiPriority w:val="34"/>
    <w:qFormat/>
    <w:rsid w:val="005F4276"/>
    <w:pPr>
      <w:spacing w:after="200" w:line="360" w:lineRule="auto"/>
      <w:ind w:left="720" w:firstLine="709"/>
      <w:contextualSpacing/>
      <w:jc w:val="both"/>
    </w:pPr>
    <w:rPr>
      <w:rFonts w:ascii="Calibri" w:eastAsia="Calibri" w:hAnsi="Calibri"/>
      <w:sz w:val="22"/>
      <w:szCs w:val="22"/>
      <w:lang w:eastAsia="en-US"/>
    </w:rPr>
  </w:style>
  <w:style w:type="character" w:customStyle="1" w:styleId="apple-converted-space">
    <w:name w:val="apple-converted-space"/>
    <w:basedOn w:val="Domylnaczcionkaakapitu"/>
    <w:rsid w:val="008C6B69"/>
  </w:style>
  <w:style w:type="paragraph" w:styleId="Legenda">
    <w:name w:val="caption"/>
    <w:basedOn w:val="Normalny"/>
    <w:next w:val="Normalny"/>
    <w:uiPriority w:val="35"/>
    <w:unhideWhenUsed/>
    <w:qFormat/>
    <w:rsid w:val="00404B12"/>
    <w:pPr>
      <w:spacing w:line="240" w:lineRule="auto"/>
      <w:jc w:val="both"/>
    </w:pPr>
    <w:rPr>
      <w:rFonts w:eastAsiaTheme="minorHAnsi" w:cstheme="minorBid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59693-F424-4ACF-93CA-037218E8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3883</Words>
  <Characters>24835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ZESZYTY  NAUKOWE  UNIWERSYTETU  SZCZECIŃSKIEGO</vt:lpstr>
    </vt:vector>
  </TitlesOfParts>
  <Company>HP</Company>
  <LinksUpToDate>false</LinksUpToDate>
  <CharactersWithSpaces>28661</CharactersWithSpaces>
  <SharedDoc>false</SharedDoc>
  <HLinks>
    <vt:vector size="24" baseType="variant">
      <vt:variant>
        <vt:i4>1572896</vt:i4>
      </vt:variant>
      <vt:variant>
        <vt:i4>9</vt:i4>
      </vt:variant>
      <vt:variant>
        <vt:i4>0</vt:i4>
      </vt:variant>
      <vt:variant>
        <vt:i4>5</vt:i4>
      </vt:variant>
      <vt:variant>
        <vt:lpwstr>http://www.nbp.pl/aktualnosci/wiadomosci_2012/esrb-2011-3.pdf</vt:lpwstr>
      </vt:variant>
      <vt:variant>
        <vt:lpwstr/>
      </vt:variant>
      <vt:variant>
        <vt:i4>4718602</vt:i4>
      </vt:variant>
      <vt:variant>
        <vt:i4>6</vt:i4>
      </vt:variant>
      <vt:variant>
        <vt:i4>0</vt:i4>
      </vt:variant>
      <vt:variant>
        <vt:i4>5</vt:i4>
      </vt:variant>
      <vt:variant>
        <vt:lpwstr>http://www.stooq.com/</vt:lpwstr>
      </vt:variant>
      <vt:variant>
        <vt:lpwstr/>
      </vt:variant>
      <vt:variant>
        <vt:i4>4718602</vt:i4>
      </vt:variant>
      <vt:variant>
        <vt:i4>3</vt:i4>
      </vt:variant>
      <vt:variant>
        <vt:i4>0</vt:i4>
      </vt:variant>
      <vt:variant>
        <vt:i4>5</vt:i4>
      </vt:variant>
      <vt:variant>
        <vt:lpwstr>http://www.stooq.com/</vt:lpwstr>
      </vt:variant>
      <vt:variant>
        <vt:lpwstr/>
      </vt:variant>
      <vt:variant>
        <vt:i4>4718602</vt:i4>
      </vt:variant>
      <vt:variant>
        <vt:i4>0</vt:i4>
      </vt:variant>
      <vt:variant>
        <vt:i4>0</vt:i4>
      </vt:variant>
      <vt:variant>
        <vt:i4>5</vt:i4>
      </vt:variant>
      <vt:variant>
        <vt:lpwstr>http://www.stooq.com/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ZESZYTY  NAUKOWE  UNIWERSYTETU  SZCZECIŃSKIEGO</dc:title>
  <dc:creator>Marek Rublewski</dc:creator>
  <cp:lastModifiedBy>User</cp:lastModifiedBy>
  <cp:revision>22</cp:revision>
  <cp:lastPrinted>2014-10-05T07:08:00Z</cp:lastPrinted>
  <dcterms:created xsi:type="dcterms:W3CDTF">2014-10-01T16:04:00Z</dcterms:created>
  <dcterms:modified xsi:type="dcterms:W3CDTF">2014-10-07T15:46:00Z</dcterms:modified>
</cp:coreProperties>
</file>